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A9614" w14:textId="2FD67C95" w:rsidR="0030678A" w:rsidRDefault="0030678A" w:rsidP="0030678A">
      <w:pPr>
        <w:pStyle w:val="Heading1"/>
        <w:jc w:val="center"/>
        <w:rPr>
          <w:rFonts w:ascii="Calibri" w:hAnsi="Calibri"/>
          <w:szCs w:val="24"/>
        </w:rPr>
      </w:pPr>
      <w:bookmarkStart w:id="0" w:name="_Toc488043051"/>
      <w:r w:rsidRPr="00DC757E">
        <w:rPr>
          <w:rFonts w:ascii="Calibri" w:hAnsi="Calibri"/>
          <w:szCs w:val="24"/>
        </w:rPr>
        <w:t xml:space="preserve">Duty Hour </w:t>
      </w:r>
      <w:bookmarkEnd w:id="0"/>
      <w:r w:rsidR="00DC757E" w:rsidRPr="00DC757E">
        <w:rPr>
          <w:rFonts w:ascii="Calibri" w:hAnsi="Calibri"/>
          <w:szCs w:val="24"/>
        </w:rPr>
        <w:t>Policy Examples</w:t>
      </w:r>
    </w:p>
    <w:p w14:paraId="2F37DC6D" w14:textId="77777777" w:rsidR="00295010" w:rsidRDefault="00295010" w:rsidP="00295010"/>
    <w:p w14:paraId="134CE059" w14:textId="723F0C7A" w:rsidR="00295010" w:rsidRPr="00295010" w:rsidRDefault="00295010" w:rsidP="00295010">
      <w:pPr>
        <w:rPr>
          <w:rFonts w:asciiTheme="minorHAnsi" w:hAnsiTheme="minorHAnsi" w:cstheme="minorHAnsi"/>
          <w:sz w:val="22"/>
          <w:szCs w:val="22"/>
        </w:rPr>
      </w:pPr>
      <w:r w:rsidRPr="00295010">
        <w:rPr>
          <w:rFonts w:asciiTheme="minorHAnsi" w:hAnsiTheme="minorHAnsi" w:cstheme="minorHAnsi"/>
          <w:sz w:val="22"/>
          <w:szCs w:val="22"/>
        </w:rPr>
        <w:t>Each of the examples below is fully compliant with Standards 2.</w:t>
      </w:r>
      <w:r w:rsidR="0001030D">
        <w:rPr>
          <w:rFonts w:asciiTheme="minorHAnsi" w:hAnsiTheme="minorHAnsi" w:cstheme="minorHAnsi"/>
          <w:sz w:val="22"/>
          <w:szCs w:val="22"/>
        </w:rPr>
        <w:t>3</w:t>
      </w:r>
      <w:r w:rsidRPr="00295010">
        <w:rPr>
          <w:rFonts w:asciiTheme="minorHAnsi" w:hAnsiTheme="minorHAnsi" w:cstheme="minorHAnsi"/>
          <w:sz w:val="22"/>
          <w:szCs w:val="22"/>
        </w:rPr>
        <w:t>, 2.</w:t>
      </w:r>
      <w:r w:rsidR="0001030D">
        <w:rPr>
          <w:rFonts w:asciiTheme="minorHAnsi" w:hAnsiTheme="minorHAnsi" w:cstheme="minorHAnsi"/>
          <w:sz w:val="22"/>
          <w:szCs w:val="22"/>
        </w:rPr>
        <w:t>3</w:t>
      </w:r>
      <w:r w:rsidRPr="00295010">
        <w:rPr>
          <w:rFonts w:asciiTheme="minorHAnsi" w:hAnsiTheme="minorHAnsi" w:cstheme="minorHAnsi"/>
          <w:sz w:val="22"/>
          <w:szCs w:val="22"/>
        </w:rPr>
        <w:t>.a,</w:t>
      </w:r>
      <w:r w:rsidR="0001030D">
        <w:rPr>
          <w:rFonts w:asciiTheme="minorHAnsi" w:hAnsiTheme="minorHAnsi" w:cstheme="minorHAnsi"/>
          <w:sz w:val="22"/>
          <w:szCs w:val="22"/>
        </w:rPr>
        <w:t xml:space="preserve"> 2.3.b, </w:t>
      </w:r>
      <w:r w:rsidR="00263F7C">
        <w:rPr>
          <w:rFonts w:asciiTheme="minorHAnsi" w:hAnsiTheme="minorHAnsi" w:cstheme="minorHAnsi"/>
          <w:sz w:val="22"/>
          <w:szCs w:val="22"/>
        </w:rPr>
        <w:t>2.3.b.1, 2.3.b.2, 2.3.c, and 2.3.d</w:t>
      </w:r>
      <w:r w:rsidRPr="00295010">
        <w:rPr>
          <w:rFonts w:asciiTheme="minorHAnsi" w:hAnsiTheme="minorHAnsi" w:cstheme="minorHAnsi"/>
          <w:sz w:val="22"/>
          <w:szCs w:val="22"/>
        </w:rPr>
        <w:t xml:space="preserve"> of the </w:t>
      </w:r>
      <w:r w:rsidRPr="00295010">
        <w:rPr>
          <w:rFonts w:asciiTheme="minorHAnsi" w:hAnsiTheme="minorHAnsi" w:cstheme="minorHAnsi"/>
          <w:i/>
          <w:sz w:val="22"/>
          <w:szCs w:val="22"/>
        </w:rPr>
        <w:t xml:space="preserve">ASHP Standards for Accreditation of Postgraduate Pharmacy Residencies. </w:t>
      </w:r>
      <w:r w:rsidRPr="00295010">
        <w:rPr>
          <w:rFonts w:asciiTheme="minorHAnsi" w:hAnsiTheme="minorHAnsi" w:cstheme="minorHAnsi"/>
          <w:sz w:val="22"/>
          <w:szCs w:val="22"/>
        </w:rPr>
        <w:t xml:space="preserve">If a program chooses to use an example policy, the exact wording should be used to ensure full compliance. However, if a program makes any modifications to the policies below, or chooses to use their own, the criteria at the end of this document should be utilized to ensure compliance with the Standard. </w:t>
      </w:r>
    </w:p>
    <w:p w14:paraId="5C653C71" w14:textId="77777777" w:rsidR="00DC757E" w:rsidRPr="00DC757E" w:rsidRDefault="00DC757E" w:rsidP="00DC757E"/>
    <w:p w14:paraId="79254233" w14:textId="4966A6E6" w:rsidR="001E10AC" w:rsidRDefault="001E10AC" w:rsidP="00C57290">
      <w:pPr>
        <w:rPr>
          <w:rFonts w:ascii="Calibri" w:hAnsi="Calibri" w:cs="Calibri"/>
          <w:b/>
          <w:sz w:val="22"/>
          <w:szCs w:val="22"/>
        </w:rPr>
      </w:pPr>
      <w:r>
        <w:rPr>
          <w:rFonts w:ascii="Calibri" w:hAnsi="Calibri" w:cs="Calibri"/>
          <w:b/>
          <w:sz w:val="22"/>
          <w:szCs w:val="22"/>
        </w:rPr>
        <w:t>Example 1 (program that does not allow moonlighting</w:t>
      </w:r>
      <w:r w:rsidR="005142B0">
        <w:rPr>
          <w:rFonts w:ascii="Calibri" w:hAnsi="Calibri" w:cs="Calibri"/>
          <w:b/>
          <w:sz w:val="22"/>
          <w:szCs w:val="22"/>
        </w:rPr>
        <w:t>)</w:t>
      </w:r>
    </w:p>
    <w:p w14:paraId="5FA2219D" w14:textId="77777777" w:rsidR="001E10AC" w:rsidRDefault="001E10AC" w:rsidP="00C57290">
      <w:pPr>
        <w:rPr>
          <w:rFonts w:ascii="Calibri" w:hAnsi="Calibri" w:cs="Calibri"/>
          <w:b/>
          <w:sz w:val="22"/>
          <w:szCs w:val="22"/>
        </w:rPr>
      </w:pPr>
    </w:p>
    <w:p w14:paraId="3C44F589" w14:textId="77777777" w:rsidR="005142B0" w:rsidRPr="00567693" w:rsidRDefault="005142B0" w:rsidP="005142B0">
      <w:pPr>
        <w:rPr>
          <w:rFonts w:ascii="Calibri" w:hAnsi="Calibri" w:cs="Calibri"/>
          <w:b/>
          <w:sz w:val="22"/>
          <w:szCs w:val="22"/>
        </w:rPr>
      </w:pPr>
      <w:r>
        <w:rPr>
          <w:rFonts w:ascii="Calibri" w:hAnsi="Calibri" w:cs="Arial"/>
          <w:sz w:val="22"/>
        </w:rPr>
        <w:t>The A</w:t>
      </w:r>
      <w:r w:rsidRPr="00567693">
        <w:rPr>
          <w:rFonts w:ascii="Calibri" w:hAnsi="Calibri" w:cs="Arial"/>
          <w:i/>
          <w:sz w:val="22"/>
        </w:rPr>
        <w:t>SHP Duty Hour Requirements for Pharmacy Residency Programs</w:t>
      </w:r>
      <w:r>
        <w:rPr>
          <w:rFonts w:ascii="Calibri" w:hAnsi="Calibri" w:cs="Arial"/>
          <w:sz w:val="22"/>
        </w:rPr>
        <w:t xml:space="preserve"> must be</w:t>
      </w:r>
      <w:r w:rsidRPr="002152C4">
        <w:rPr>
          <w:rFonts w:ascii="Calibri" w:hAnsi="Calibri" w:cs="Arial"/>
          <w:sz w:val="22"/>
        </w:rPr>
        <w:t xml:space="preserve"> followed</w:t>
      </w:r>
      <w:r>
        <w:rPr>
          <w:rFonts w:ascii="Calibri" w:hAnsi="Calibri" w:cs="Arial"/>
          <w:sz w:val="22"/>
        </w:rPr>
        <w:t xml:space="preserve"> by the program and the residents. </w:t>
      </w:r>
      <w:r w:rsidRPr="00567693">
        <w:rPr>
          <w:rFonts w:asciiTheme="minorHAnsi" w:eastAsiaTheme="minorEastAsia" w:hAnsiTheme="minorHAnsi" w:cstheme="minorHAnsi"/>
          <w:color w:val="000000" w:themeColor="text1"/>
          <w:kern w:val="24"/>
          <w:sz w:val="22"/>
          <w:szCs w:val="22"/>
        </w:rPr>
        <w:t xml:space="preserve">See ASHP website for complete duty hour </w:t>
      </w:r>
      <w:r>
        <w:rPr>
          <w:rFonts w:asciiTheme="minorHAnsi" w:eastAsiaTheme="minorEastAsia" w:hAnsiTheme="minorHAnsi" w:cstheme="minorHAnsi"/>
          <w:color w:val="000000" w:themeColor="text1"/>
          <w:kern w:val="24"/>
          <w:sz w:val="22"/>
          <w:szCs w:val="22"/>
        </w:rPr>
        <w:t xml:space="preserve">definitions and </w:t>
      </w:r>
      <w:r w:rsidRPr="00567693">
        <w:rPr>
          <w:rFonts w:asciiTheme="minorHAnsi" w:eastAsiaTheme="minorEastAsia" w:hAnsiTheme="minorHAnsi" w:cstheme="minorHAnsi"/>
          <w:color w:val="000000" w:themeColor="text1"/>
          <w:kern w:val="24"/>
          <w:sz w:val="22"/>
          <w:szCs w:val="22"/>
        </w:rPr>
        <w:t xml:space="preserve">requirements: </w:t>
      </w:r>
      <w:hyperlink r:id="rId11" w:history="1">
        <w:r>
          <w:rPr>
            <w:rFonts w:asciiTheme="minorHAnsi" w:eastAsiaTheme="minorEastAsia" w:hAnsiTheme="minorHAnsi" w:cstheme="minorHAnsi"/>
            <w:color w:val="548DD4" w:themeColor="text2" w:themeTint="99"/>
            <w:kern w:val="24"/>
            <w:sz w:val="22"/>
            <w:szCs w:val="22"/>
            <w:u w:val="single"/>
          </w:rPr>
          <w:t>ASHP Duty Hour Requirements for Pharmacy Residencies</w:t>
        </w:r>
      </w:hyperlink>
    </w:p>
    <w:p w14:paraId="3C8C6F0C" w14:textId="77777777" w:rsidR="005142B0" w:rsidRPr="00567693" w:rsidRDefault="005142B0" w:rsidP="005142B0">
      <w:pPr>
        <w:spacing w:line="216" w:lineRule="auto"/>
        <w:rPr>
          <w:rFonts w:asciiTheme="minorHAnsi" w:hAnsiTheme="minorHAnsi" w:cstheme="minorHAnsi"/>
          <w:color w:val="72A9E0"/>
          <w:sz w:val="22"/>
          <w:szCs w:val="22"/>
        </w:rPr>
      </w:pPr>
    </w:p>
    <w:p w14:paraId="728CF6DF" w14:textId="701498BF" w:rsidR="005142B0" w:rsidRPr="00567693" w:rsidRDefault="005142B0" w:rsidP="005142B0">
      <w:pPr>
        <w:spacing w:line="216" w:lineRule="auto"/>
        <w:contextualSpacing/>
        <w:rPr>
          <w:rFonts w:asciiTheme="minorHAnsi" w:eastAsiaTheme="minorEastAsia" w:hAnsiTheme="minorHAnsi" w:cstheme="minorHAnsi"/>
          <w:color w:val="000000" w:themeColor="text1"/>
          <w:kern w:val="24"/>
          <w:sz w:val="22"/>
          <w:szCs w:val="22"/>
        </w:rPr>
      </w:pPr>
      <w:r w:rsidRPr="004742E0">
        <w:rPr>
          <w:rFonts w:asciiTheme="minorHAnsi" w:eastAsiaTheme="minorEastAsia" w:hAnsiTheme="minorHAnsi" w:cstheme="minorHAnsi"/>
          <w:color w:val="000000" w:themeColor="text1"/>
          <w:kern w:val="24"/>
          <w:sz w:val="22"/>
          <w:szCs w:val="22"/>
        </w:rPr>
        <w:t>Moonlighting is defined as any voluntary, compensated, work performed outside the organization (external), or within the organization where the resident is in training (internal). These are compensated hours beyond the resident’s salary and are not part of the scheduled duty periods of the residency program.</w:t>
      </w:r>
      <w:r>
        <w:rPr>
          <w:rFonts w:asciiTheme="minorHAnsi" w:eastAsiaTheme="minorEastAsia" w:hAnsiTheme="minorHAnsi" w:cstheme="minorHAnsi"/>
          <w:color w:val="000000" w:themeColor="text1"/>
          <w:kern w:val="24"/>
          <w:sz w:val="22"/>
          <w:szCs w:val="22"/>
        </w:rPr>
        <w:t xml:space="preserve"> </w:t>
      </w:r>
      <w:r w:rsidRPr="00567693">
        <w:rPr>
          <w:rFonts w:asciiTheme="minorHAnsi" w:eastAsiaTheme="minorEastAsia" w:hAnsiTheme="minorHAnsi" w:cstheme="minorHAnsi"/>
          <w:color w:val="000000" w:themeColor="text1"/>
          <w:kern w:val="24"/>
          <w:sz w:val="22"/>
          <w:szCs w:val="22"/>
        </w:rPr>
        <w:t>External</w:t>
      </w:r>
      <w:r w:rsidR="00126442">
        <w:rPr>
          <w:rFonts w:asciiTheme="minorHAnsi" w:eastAsiaTheme="minorEastAsia" w:hAnsiTheme="minorHAnsi" w:cstheme="minorHAnsi"/>
          <w:color w:val="000000" w:themeColor="text1"/>
          <w:kern w:val="24"/>
          <w:sz w:val="22"/>
          <w:szCs w:val="22"/>
        </w:rPr>
        <w:t xml:space="preserve"> and internal moonlighting </w:t>
      </w:r>
      <w:r w:rsidR="004864E3">
        <w:rPr>
          <w:rFonts w:asciiTheme="minorHAnsi" w:eastAsiaTheme="minorEastAsia" w:hAnsiTheme="minorHAnsi" w:cstheme="minorHAnsi"/>
          <w:color w:val="000000" w:themeColor="text1"/>
          <w:kern w:val="24"/>
          <w:sz w:val="22"/>
          <w:szCs w:val="22"/>
        </w:rPr>
        <w:t>by residents is not allowe</w:t>
      </w:r>
      <w:r w:rsidR="0053786F">
        <w:rPr>
          <w:rFonts w:asciiTheme="minorHAnsi" w:eastAsiaTheme="minorEastAsia" w:hAnsiTheme="minorHAnsi" w:cstheme="minorHAnsi"/>
          <w:color w:val="000000" w:themeColor="text1"/>
          <w:kern w:val="24"/>
          <w:sz w:val="22"/>
          <w:szCs w:val="22"/>
        </w:rPr>
        <w:t>d.</w:t>
      </w:r>
    </w:p>
    <w:p w14:paraId="24E7CF36" w14:textId="77777777" w:rsidR="005142B0" w:rsidRDefault="005142B0" w:rsidP="005142B0">
      <w:pPr>
        <w:spacing w:line="216" w:lineRule="auto"/>
        <w:contextualSpacing/>
        <w:rPr>
          <w:rFonts w:asciiTheme="minorHAnsi" w:hAnsiTheme="minorHAnsi" w:cstheme="minorHAnsi"/>
          <w:color w:val="72A9E0"/>
          <w:sz w:val="22"/>
          <w:szCs w:val="22"/>
        </w:rPr>
      </w:pPr>
    </w:p>
    <w:p w14:paraId="6C050A61" w14:textId="6E02F788" w:rsidR="005142B0" w:rsidRDefault="005142B0" w:rsidP="005142B0">
      <w:pPr>
        <w:spacing w:line="216" w:lineRule="auto"/>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color w:val="000000" w:themeColor="text1"/>
          <w:kern w:val="24"/>
          <w:sz w:val="22"/>
          <w:szCs w:val="22"/>
        </w:rPr>
        <w:t>Residents are required to complete the Duty hour Attestation monthly in PharmAcademic™. The RPD will review resident attestations to monitor compliance with duty hour requirements.</w:t>
      </w:r>
      <w:r w:rsidRPr="00567693">
        <w:rPr>
          <w:rFonts w:asciiTheme="minorHAnsi" w:eastAsiaTheme="minorEastAsia" w:hAnsiTheme="minorHAnsi" w:cstheme="minorHAnsi"/>
          <w:color w:val="000000" w:themeColor="text1"/>
          <w:kern w:val="24"/>
          <w:sz w:val="22"/>
          <w:szCs w:val="22"/>
        </w:rPr>
        <w:t xml:space="preserve"> </w:t>
      </w:r>
      <w:r>
        <w:rPr>
          <w:rFonts w:asciiTheme="minorHAnsi" w:eastAsiaTheme="minorEastAsia" w:hAnsiTheme="minorHAnsi" w:cstheme="minorHAnsi"/>
          <w:color w:val="000000" w:themeColor="text1"/>
          <w:kern w:val="24"/>
          <w:sz w:val="22"/>
          <w:szCs w:val="22"/>
        </w:rPr>
        <w:t>A</w:t>
      </w:r>
      <w:r w:rsidRPr="00567693">
        <w:rPr>
          <w:rFonts w:asciiTheme="minorHAnsi" w:eastAsiaTheme="minorEastAsia" w:hAnsiTheme="minorHAnsi" w:cstheme="minorHAnsi"/>
          <w:color w:val="000000" w:themeColor="text1"/>
          <w:kern w:val="24"/>
          <w:sz w:val="22"/>
          <w:szCs w:val="22"/>
        </w:rPr>
        <w:t>ny instance of non-compliance will be addressed by the RPD and an action plan to prevent future instances will be developed</w:t>
      </w:r>
      <w:r>
        <w:rPr>
          <w:rFonts w:asciiTheme="minorHAnsi" w:eastAsiaTheme="minorEastAsia" w:hAnsiTheme="minorHAnsi" w:cstheme="minorHAnsi"/>
          <w:color w:val="000000" w:themeColor="text1"/>
          <w:kern w:val="24"/>
          <w:sz w:val="22"/>
          <w:szCs w:val="22"/>
        </w:rPr>
        <w:t>.</w:t>
      </w:r>
    </w:p>
    <w:p w14:paraId="4722B6F7" w14:textId="77777777" w:rsidR="001E10AC" w:rsidRDefault="001E10AC" w:rsidP="00C57290">
      <w:pPr>
        <w:rPr>
          <w:rFonts w:ascii="Calibri" w:hAnsi="Calibri" w:cs="Calibri"/>
          <w:b/>
          <w:sz w:val="22"/>
          <w:szCs w:val="22"/>
        </w:rPr>
      </w:pPr>
    </w:p>
    <w:p w14:paraId="5974E9E8" w14:textId="03853046" w:rsidR="00C57290" w:rsidRDefault="00C57290" w:rsidP="00C57290">
      <w:pPr>
        <w:rPr>
          <w:rFonts w:ascii="Calibri" w:hAnsi="Calibri" w:cs="Calibri"/>
          <w:b/>
          <w:sz w:val="22"/>
          <w:szCs w:val="22"/>
        </w:rPr>
      </w:pPr>
      <w:r w:rsidRPr="00567693">
        <w:rPr>
          <w:rFonts w:ascii="Calibri" w:hAnsi="Calibri" w:cs="Calibri"/>
          <w:b/>
          <w:sz w:val="22"/>
          <w:szCs w:val="22"/>
        </w:rPr>
        <w:t>E</w:t>
      </w:r>
      <w:r>
        <w:rPr>
          <w:rFonts w:ascii="Calibri" w:hAnsi="Calibri" w:cs="Calibri"/>
          <w:b/>
          <w:sz w:val="22"/>
          <w:szCs w:val="22"/>
        </w:rPr>
        <w:t xml:space="preserve">xample </w:t>
      </w:r>
      <w:r w:rsidR="00CF29D7">
        <w:rPr>
          <w:rFonts w:ascii="Calibri" w:hAnsi="Calibri" w:cs="Calibri"/>
          <w:b/>
          <w:sz w:val="22"/>
          <w:szCs w:val="22"/>
        </w:rPr>
        <w:t>2</w:t>
      </w:r>
      <w:r w:rsidR="001E10AC">
        <w:rPr>
          <w:rFonts w:ascii="Calibri" w:hAnsi="Calibri" w:cs="Calibri"/>
          <w:b/>
          <w:sz w:val="22"/>
          <w:szCs w:val="22"/>
        </w:rPr>
        <w:t xml:space="preserve"> (program that allows moonlighting)</w:t>
      </w:r>
    </w:p>
    <w:p w14:paraId="753E557A" w14:textId="77777777" w:rsidR="00C57290" w:rsidRDefault="00C57290" w:rsidP="00C57290">
      <w:pPr>
        <w:rPr>
          <w:rFonts w:ascii="Calibri" w:hAnsi="Calibri" w:cs="Calibri"/>
          <w:b/>
          <w:sz w:val="22"/>
          <w:szCs w:val="22"/>
        </w:rPr>
      </w:pPr>
    </w:p>
    <w:p w14:paraId="73620E3F" w14:textId="1121DFB2" w:rsidR="00C57290" w:rsidRPr="00567693" w:rsidRDefault="00C57290" w:rsidP="00C57290">
      <w:pPr>
        <w:rPr>
          <w:rFonts w:ascii="Calibri" w:hAnsi="Calibri" w:cs="Calibri"/>
          <w:b/>
          <w:sz w:val="22"/>
          <w:szCs w:val="22"/>
        </w:rPr>
      </w:pPr>
      <w:r>
        <w:rPr>
          <w:rFonts w:ascii="Calibri" w:hAnsi="Calibri" w:cs="Arial"/>
          <w:sz w:val="22"/>
        </w:rPr>
        <w:t>The A</w:t>
      </w:r>
      <w:r w:rsidRPr="00567693">
        <w:rPr>
          <w:rFonts w:ascii="Calibri" w:hAnsi="Calibri" w:cs="Arial"/>
          <w:i/>
          <w:sz w:val="22"/>
        </w:rPr>
        <w:t>SHP Duty Hour Requirements for Pharmacy Residency Programs</w:t>
      </w:r>
      <w:r>
        <w:rPr>
          <w:rFonts w:ascii="Calibri" w:hAnsi="Calibri" w:cs="Arial"/>
          <w:sz w:val="22"/>
        </w:rPr>
        <w:t xml:space="preserve"> must be</w:t>
      </w:r>
      <w:r w:rsidRPr="002152C4">
        <w:rPr>
          <w:rFonts w:ascii="Calibri" w:hAnsi="Calibri" w:cs="Arial"/>
          <w:sz w:val="22"/>
        </w:rPr>
        <w:t xml:space="preserve"> followed</w:t>
      </w:r>
      <w:r>
        <w:rPr>
          <w:rFonts w:ascii="Calibri" w:hAnsi="Calibri" w:cs="Arial"/>
          <w:sz w:val="22"/>
        </w:rPr>
        <w:t xml:space="preserve"> by the program and the residents. </w:t>
      </w:r>
      <w:r w:rsidR="00567693" w:rsidRPr="00567693">
        <w:rPr>
          <w:rFonts w:asciiTheme="minorHAnsi" w:eastAsiaTheme="minorEastAsia" w:hAnsiTheme="minorHAnsi" w:cstheme="minorHAnsi"/>
          <w:color w:val="000000" w:themeColor="text1"/>
          <w:kern w:val="24"/>
          <w:sz w:val="22"/>
          <w:szCs w:val="22"/>
        </w:rPr>
        <w:t xml:space="preserve">See ASHP website for complete duty hour </w:t>
      </w:r>
      <w:r w:rsidR="008D1F6D">
        <w:rPr>
          <w:rFonts w:asciiTheme="minorHAnsi" w:eastAsiaTheme="minorEastAsia" w:hAnsiTheme="minorHAnsi" w:cstheme="minorHAnsi"/>
          <w:color w:val="000000" w:themeColor="text1"/>
          <w:kern w:val="24"/>
          <w:sz w:val="22"/>
          <w:szCs w:val="22"/>
        </w:rPr>
        <w:t xml:space="preserve">definitions and </w:t>
      </w:r>
      <w:r w:rsidR="00567693" w:rsidRPr="00567693">
        <w:rPr>
          <w:rFonts w:asciiTheme="minorHAnsi" w:eastAsiaTheme="minorEastAsia" w:hAnsiTheme="minorHAnsi" w:cstheme="minorHAnsi"/>
          <w:color w:val="000000" w:themeColor="text1"/>
          <w:kern w:val="24"/>
          <w:sz w:val="22"/>
          <w:szCs w:val="22"/>
        </w:rPr>
        <w:t xml:space="preserve">requirements: </w:t>
      </w:r>
      <w:hyperlink r:id="rId12" w:history="1">
        <w:r w:rsidR="00E61163">
          <w:rPr>
            <w:rFonts w:asciiTheme="minorHAnsi" w:eastAsiaTheme="minorEastAsia" w:hAnsiTheme="minorHAnsi" w:cstheme="minorHAnsi"/>
            <w:color w:val="548DD4" w:themeColor="text2" w:themeTint="99"/>
            <w:kern w:val="24"/>
            <w:sz w:val="22"/>
            <w:szCs w:val="22"/>
            <w:u w:val="single"/>
          </w:rPr>
          <w:t>ASHP Duty Hour Requirements for Pharmacy Residencies</w:t>
        </w:r>
      </w:hyperlink>
    </w:p>
    <w:p w14:paraId="06C1FB2D" w14:textId="77777777" w:rsidR="00C57290" w:rsidRPr="00567693" w:rsidRDefault="00C57290" w:rsidP="00C57290">
      <w:pPr>
        <w:spacing w:line="216" w:lineRule="auto"/>
        <w:rPr>
          <w:rFonts w:asciiTheme="minorHAnsi" w:hAnsiTheme="minorHAnsi" w:cstheme="minorHAnsi"/>
          <w:color w:val="72A9E0"/>
          <w:sz w:val="22"/>
          <w:szCs w:val="22"/>
        </w:rPr>
      </w:pPr>
    </w:p>
    <w:p w14:paraId="0D6525B1" w14:textId="56C6E74D" w:rsidR="007A59C5" w:rsidRPr="00567693" w:rsidRDefault="004742E0" w:rsidP="007A59C5">
      <w:pPr>
        <w:spacing w:line="216" w:lineRule="auto"/>
        <w:contextualSpacing/>
        <w:rPr>
          <w:rFonts w:asciiTheme="minorHAnsi" w:eastAsiaTheme="minorEastAsia" w:hAnsiTheme="minorHAnsi" w:cstheme="minorHAnsi"/>
          <w:color w:val="000000" w:themeColor="text1"/>
          <w:kern w:val="24"/>
          <w:sz w:val="22"/>
          <w:szCs w:val="22"/>
        </w:rPr>
      </w:pPr>
      <w:r w:rsidRPr="004742E0">
        <w:rPr>
          <w:rFonts w:asciiTheme="minorHAnsi" w:eastAsiaTheme="minorEastAsia" w:hAnsiTheme="minorHAnsi" w:cstheme="minorHAnsi"/>
          <w:color w:val="000000" w:themeColor="text1"/>
          <w:kern w:val="24"/>
          <w:sz w:val="22"/>
          <w:szCs w:val="22"/>
        </w:rPr>
        <w:t>Moonlighting is defined as any voluntary, compensated, work performed outside the organization (external), or within the organization where the resident is in training (internal). These are compensated hours beyond the resident’s salary and are not part of the scheduled duty periods of the residency program.</w:t>
      </w:r>
      <w:r>
        <w:rPr>
          <w:rFonts w:asciiTheme="minorHAnsi" w:eastAsiaTheme="minorEastAsia" w:hAnsiTheme="minorHAnsi" w:cstheme="minorHAnsi"/>
          <w:color w:val="000000" w:themeColor="text1"/>
          <w:kern w:val="24"/>
          <w:sz w:val="22"/>
          <w:szCs w:val="22"/>
        </w:rPr>
        <w:t xml:space="preserve"> </w:t>
      </w:r>
      <w:r w:rsidR="00567693" w:rsidRPr="00567693">
        <w:rPr>
          <w:rFonts w:asciiTheme="minorHAnsi" w:eastAsiaTheme="minorEastAsia" w:hAnsiTheme="minorHAnsi" w:cstheme="minorHAnsi"/>
          <w:color w:val="000000" w:themeColor="text1"/>
          <w:kern w:val="24"/>
          <w:sz w:val="22"/>
          <w:szCs w:val="22"/>
        </w:rPr>
        <w:t xml:space="preserve">External </w:t>
      </w:r>
      <w:r>
        <w:rPr>
          <w:rFonts w:asciiTheme="minorHAnsi" w:eastAsiaTheme="minorEastAsia" w:hAnsiTheme="minorHAnsi" w:cstheme="minorHAnsi"/>
          <w:color w:val="000000" w:themeColor="text1"/>
          <w:kern w:val="24"/>
          <w:sz w:val="22"/>
          <w:szCs w:val="22"/>
        </w:rPr>
        <w:t>moonlighting is not allowed.</w:t>
      </w:r>
      <w:r w:rsidR="008112C5">
        <w:rPr>
          <w:rFonts w:asciiTheme="minorHAnsi" w:eastAsiaTheme="minorEastAsia" w:hAnsiTheme="minorHAnsi" w:cstheme="minorHAnsi"/>
          <w:color w:val="000000" w:themeColor="text1"/>
          <w:kern w:val="24"/>
          <w:sz w:val="22"/>
          <w:szCs w:val="22"/>
        </w:rPr>
        <w:t xml:space="preserve"> </w:t>
      </w:r>
      <w:r w:rsidR="00567693" w:rsidRPr="00567693">
        <w:rPr>
          <w:rFonts w:asciiTheme="minorHAnsi" w:eastAsiaTheme="minorEastAsia" w:hAnsiTheme="minorHAnsi" w:cstheme="minorHAnsi"/>
          <w:color w:val="000000" w:themeColor="text1"/>
          <w:kern w:val="24"/>
          <w:sz w:val="22"/>
          <w:szCs w:val="22"/>
        </w:rPr>
        <w:t xml:space="preserve">Internal resident moonlighting is allowed with RPD approval. </w:t>
      </w:r>
      <w:r w:rsidR="00BA773C">
        <w:rPr>
          <w:rFonts w:asciiTheme="minorHAnsi" w:eastAsiaTheme="minorEastAsia" w:hAnsiTheme="minorHAnsi" w:cstheme="minorHAnsi"/>
          <w:color w:val="000000" w:themeColor="text1"/>
          <w:kern w:val="24"/>
          <w:sz w:val="22"/>
          <w:szCs w:val="22"/>
        </w:rPr>
        <w:t>Moonlighting is limited to</w:t>
      </w:r>
      <w:r w:rsidR="00567693" w:rsidRPr="00567693">
        <w:rPr>
          <w:rFonts w:asciiTheme="minorHAnsi" w:eastAsiaTheme="minorEastAsia" w:hAnsiTheme="minorHAnsi" w:cstheme="minorHAnsi"/>
          <w:color w:val="000000" w:themeColor="text1"/>
          <w:kern w:val="24"/>
          <w:sz w:val="22"/>
          <w:szCs w:val="22"/>
        </w:rPr>
        <w:t xml:space="preserve"> </w:t>
      </w:r>
      <w:r w:rsidR="00BA773C">
        <w:rPr>
          <w:rFonts w:asciiTheme="minorHAnsi" w:eastAsiaTheme="minorEastAsia" w:hAnsiTheme="minorHAnsi" w:cstheme="minorHAnsi"/>
          <w:color w:val="000000" w:themeColor="text1"/>
          <w:kern w:val="24"/>
          <w:sz w:val="22"/>
          <w:szCs w:val="22"/>
        </w:rPr>
        <w:t>eight</w:t>
      </w:r>
      <w:r w:rsidR="00567693" w:rsidRPr="00567693">
        <w:rPr>
          <w:rFonts w:asciiTheme="minorHAnsi" w:eastAsiaTheme="minorEastAsia" w:hAnsiTheme="minorHAnsi" w:cstheme="minorHAnsi"/>
          <w:color w:val="000000" w:themeColor="text1"/>
          <w:kern w:val="24"/>
          <w:sz w:val="22"/>
          <w:szCs w:val="22"/>
        </w:rPr>
        <w:t xml:space="preserve"> hours of moonlighting per week. </w:t>
      </w:r>
      <w:r w:rsidR="00BA55E2" w:rsidRPr="00567693">
        <w:rPr>
          <w:rFonts w:asciiTheme="minorHAnsi" w:eastAsiaTheme="minorEastAsia" w:hAnsiTheme="minorHAnsi" w:cstheme="minorHAnsi"/>
          <w:color w:val="000000" w:themeColor="text1"/>
          <w:kern w:val="24"/>
          <w:sz w:val="22"/>
          <w:szCs w:val="22"/>
        </w:rPr>
        <w:t>If there is concern that moonlighting is affecting the resident’s performance, moonlighting privileges will be suspended.</w:t>
      </w:r>
    </w:p>
    <w:p w14:paraId="5DFF1273" w14:textId="77777777" w:rsidR="00C57290" w:rsidRDefault="00C57290" w:rsidP="00C57290">
      <w:pPr>
        <w:spacing w:line="216" w:lineRule="auto"/>
        <w:contextualSpacing/>
        <w:rPr>
          <w:rFonts w:asciiTheme="minorHAnsi" w:hAnsiTheme="minorHAnsi" w:cstheme="minorHAnsi"/>
          <w:color w:val="72A9E0"/>
          <w:sz w:val="22"/>
          <w:szCs w:val="22"/>
        </w:rPr>
      </w:pPr>
    </w:p>
    <w:p w14:paraId="7B2DA4C5" w14:textId="0CDE2207" w:rsidR="008112C5" w:rsidRDefault="0048603A" w:rsidP="008112C5">
      <w:pPr>
        <w:spacing w:line="216" w:lineRule="auto"/>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color w:val="000000" w:themeColor="text1"/>
          <w:kern w:val="24"/>
          <w:sz w:val="22"/>
          <w:szCs w:val="22"/>
        </w:rPr>
        <w:t>Residents are re</w:t>
      </w:r>
      <w:r w:rsidR="000A2023">
        <w:rPr>
          <w:rFonts w:asciiTheme="minorHAnsi" w:eastAsiaTheme="minorEastAsia" w:hAnsiTheme="minorHAnsi" w:cstheme="minorHAnsi"/>
          <w:color w:val="000000" w:themeColor="text1"/>
          <w:kern w:val="24"/>
          <w:sz w:val="22"/>
          <w:szCs w:val="22"/>
        </w:rPr>
        <w:t xml:space="preserve">quired to </w:t>
      </w:r>
      <w:r w:rsidR="00D34EAB">
        <w:rPr>
          <w:rFonts w:asciiTheme="minorHAnsi" w:eastAsiaTheme="minorEastAsia" w:hAnsiTheme="minorHAnsi" w:cstheme="minorHAnsi"/>
          <w:color w:val="000000" w:themeColor="text1"/>
          <w:kern w:val="24"/>
          <w:sz w:val="22"/>
          <w:szCs w:val="22"/>
        </w:rPr>
        <w:t xml:space="preserve">complete the Duty hour Attestation monthly </w:t>
      </w:r>
      <w:r w:rsidR="006C6F33">
        <w:rPr>
          <w:rFonts w:asciiTheme="minorHAnsi" w:eastAsiaTheme="minorEastAsia" w:hAnsiTheme="minorHAnsi" w:cstheme="minorHAnsi"/>
          <w:color w:val="000000" w:themeColor="text1"/>
          <w:kern w:val="24"/>
          <w:sz w:val="22"/>
          <w:szCs w:val="22"/>
        </w:rPr>
        <w:t>in PharmAcademic™</w:t>
      </w:r>
      <w:r w:rsidR="000B4ABA">
        <w:rPr>
          <w:rFonts w:asciiTheme="minorHAnsi" w:eastAsiaTheme="minorEastAsia" w:hAnsiTheme="minorHAnsi" w:cstheme="minorHAnsi"/>
          <w:color w:val="000000" w:themeColor="text1"/>
          <w:kern w:val="24"/>
          <w:sz w:val="22"/>
          <w:szCs w:val="22"/>
        </w:rPr>
        <w:t>.</w:t>
      </w:r>
      <w:r w:rsidR="003267DB">
        <w:rPr>
          <w:rFonts w:asciiTheme="minorHAnsi" w:eastAsiaTheme="minorEastAsia" w:hAnsiTheme="minorHAnsi" w:cstheme="minorHAnsi"/>
          <w:color w:val="000000" w:themeColor="text1"/>
          <w:kern w:val="24"/>
          <w:sz w:val="22"/>
          <w:szCs w:val="22"/>
        </w:rPr>
        <w:t xml:space="preserve"> The RPD will review resident attestations</w:t>
      </w:r>
      <w:r w:rsidR="00E9454F">
        <w:rPr>
          <w:rFonts w:asciiTheme="minorHAnsi" w:eastAsiaTheme="minorEastAsia" w:hAnsiTheme="minorHAnsi" w:cstheme="minorHAnsi"/>
          <w:color w:val="000000" w:themeColor="text1"/>
          <w:kern w:val="24"/>
          <w:sz w:val="22"/>
          <w:szCs w:val="22"/>
        </w:rPr>
        <w:t xml:space="preserve"> to monitor</w:t>
      </w:r>
      <w:r w:rsidR="000B4ABA">
        <w:rPr>
          <w:rFonts w:asciiTheme="minorHAnsi" w:eastAsiaTheme="minorEastAsia" w:hAnsiTheme="minorHAnsi" w:cstheme="minorHAnsi"/>
          <w:color w:val="000000" w:themeColor="text1"/>
          <w:kern w:val="24"/>
          <w:sz w:val="22"/>
          <w:szCs w:val="22"/>
        </w:rPr>
        <w:t xml:space="preserve"> </w:t>
      </w:r>
      <w:r w:rsidR="00E9454F">
        <w:rPr>
          <w:rFonts w:asciiTheme="minorHAnsi" w:eastAsiaTheme="minorEastAsia" w:hAnsiTheme="minorHAnsi" w:cstheme="minorHAnsi"/>
          <w:color w:val="000000" w:themeColor="text1"/>
          <w:kern w:val="24"/>
          <w:sz w:val="22"/>
          <w:szCs w:val="22"/>
        </w:rPr>
        <w:t>c</w:t>
      </w:r>
      <w:r w:rsidR="00282EDF">
        <w:rPr>
          <w:rFonts w:asciiTheme="minorHAnsi" w:eastAsiaTheme="minorEastAsia" w:hAnsiTheme="minorHAnsi" w:cstheme="minorHAnsi"/>
          <w:color w:val="000000" w:themeColor="text1"/>
          <w:kern w:val="24"/>
          <w:sz w:val="22"/>
          <w:szCs w:val="22"/>
        </w:rPr>
        <w:t>ompliance with duty hour requirements</w:t>
      </w:r>
      <w:r w:rsidR="007171EE">
        <w:rPr>
          <w:rFonts w:asciiTheme="minorHAnsi" w:eastAsiaTheme="minorEastAsia" w:hAnsiTheme="minorHAnsi" w:cstheme="minorHAnsi"/>
          <w:color w:val="000000" w:themeColor="text1"/>
          <w:kern w:val="24"/>
          <w:sz w:val="22"/>
          <w:szCs w:val="22"/>
        </w:rPr>
        <w:t>, includ</w:t>
      </w:r>
      <w:r w:rsidR="00B9375C">
        <w:rPr>
          <w:rFonts w:asciiTheme="minorHAnsi" w:eastAsiaTheme="minorEastAsia" w:hAnsiTheme="minorHAnsi" w:cstheme="minorHAnsi"/>
          <w:color w:val="000000" w:themeColor="text1"/>
          <w:kern w:val="24"/>
          <w:sz w:val="22"/>
          <w:szCs w:val="22"/>
        </w:rPr>
        <w:t>ing moonlighting</w:t>
      </w:r>
      <w:r w:rsidR="00E9454F">
        <w:rPr>
          <w:rFonts w:asciiTheme="minorHAnsi" w:eastAsiaTheme="minorEastAsia" w:hAnsiTheme="minorHAnsi" w:cstheme="minorHAnsi"/>
          <w:color w:val="000000" w:themeColor="text1"/>
          <w:kern w:val="24"/>
          <w:sz w:val="22"/>
          <w:szCs w:val="22"/>
        </w:rPr>
        <w:t>.</w:t>
      </w:r>
      <w:r w:rsidR="00E9454F" w:rsidRPr="00567693">
        <w:rPr>
          <w:rFonts w:asciiTheme="minorHAnsi" w:eastAsiaTheme="minorEastAsia" w:hAnsiTheme="minorHAnsi" w:cstheme="minorHAnsi"/>
          <w:color w:val="000000" w:themeColor="text1"/>
          <w:kern w:val="24"/>
          <w:sz w:val="22"/>
          <w:szCs w:val="22"/>
        </w:rPr>
        <w:t xml:space="preserve"> </w:t>
      </w:r>
      <w:r w:rsidR="00E9454F">
        <w:rPr>
          <w:rFonts w:asciiTheme="minorHAnsi" w:eastAsiaTheme="minorEastAsia" w:hAnsiTheme="minorHAnsi" w:cstheme="minorHAnsi"/>
          <w:color w:val="000000" w:themeColor="text1"/>
          <w:kern w:val="24"/>
          <w:sz w:val="22"/>
          <w:szCs w:val="22"/>
        </w:rPr>
        <w:t>A</w:t>
      </w:r>
      <w:r w:rsidR="008112C5" w:rsidRPr="00567693">
        <w:rPr>
          <w:rFonts w:asciiTheme="minorHAnsi" w:eastAsiaTheme="minorEastAsia" w:hAnsiTheme="minorHAnsi" w:cstheme="minorHAnsi"/>
          <w:color w:val="000000" w:themeColor="text1"/>
          <w:kern w:val="24"/>
          <w:sz w:val="22"/>
          <w:szCs w:val="22"/>
        </w:rPr>
        <w:t>ny instance of non-compliance will be addressed by the RPD and an action plan to prevent future instances will be developed</w:t>
      </w:r>
      <w:r w:rsidR="008112C5">
        <w:rPr>
          <w:rFonts w:asciiTheme="minorHAnsi" w:eastAsiaTheme="minorEastAsia" w:hAnsiTheme="minorHAnsi" w:cstheme="minorHAnsi"/>
          <w:color w:val="000000" w:themeColor="text1"/>
          <w:kern w:val="24"/>
          <w:sz w:val="22"/>
          <w:szCs w:val="22"/>
        </w:rPr>
        <w:t>.</w:t>
      </w:r>
    </w:p>
    <w:p w14:paraId="537E299B" w14:textId="77777777" w:rsidR="008112C5" w:rsidRDefault="008112C5" w:rsidP="00C57290">
      <w:pPr>
        <w:spacing w:line="216" w:lineRule="auto"/>
        <w:contextualSpacing/>
        <w:rPr>
          <w:rFonts w:asciiTheme="minorHAnsi" w:hAnsiTheme="minorHAnsi" w:cstheme="minorHAnsi"/>
          <w:color w:val="72A9E0"/>
          <w:sz w:val="22"/>
          <w:szCs w:val="22"/>
        </w:rPr>
      </w:pPr>
    </w:p>
    <w:p w14:paraId="77A2E6DB" w14:textId="25DB69E6" w:rsidR="004A60E9" w:rsidRDefault="004A60E9" w:rsidP="004A60E9">
      <w:pPr>
        <w:rPr>
          <w:rFonts w:ascii="Calibri" w:hAnsi="Calibri" w:cs="Calibri"/>
          <w:b/>
          <w:sz w:val="22"/>
          <w:szCs w:val="22"/>
        </w:rPr>
      </w:pPr>
      <w:r w:rsidRPr="00567693">
        <w:rPr>
          <w:rFonts w:ascii="Calibri" w:hAnsi="Calibri" w:cs="Calibri"/>
          <w:b/>
          <w:sz w:val="22"/>
          <w:szCs w:val="22"/>
        </w:rPr>
        <w:t>E</w:t>
      </w:r>
      <w:r>
        <w:rPr>
          <w:rFonts w:ascii="Calibri" w:hAnsi="Calibri" w:cs="Calibri"/>
          <w:b/>
          <w:sz w:val="22"/>
          <w:szCs w:val="22"/>
        </w:rPr>
        <w:t>xample 3 (program that allows moonlighting and requires at-home call)</w:t>
      </w:r>
    </w:p>
    <w:p w14:paraId="1B287C1A" w14:textId="77777777" w:rsidR="008112C5" w:rsidRDefault="008112C5" w:rsidP="00C57290">
      <w:pPr>
        <w:spacing w:line="216" w:lineRule="auto"/>
        <w:contextualSpacing/>
        <w:rPr>
          <w:rFonts w:asciiTheme="minorHAnsi" w:hAnsiTheme="minorHAnsi" w:cstheme="minorHAnsi"/>
          <w:color w:val="72A9E0"/>
          <w:sz w:val="22"/>
          <w:szCs w:val="22"/>
        </w:rPr>
      </w:pPr>
    </w:p>
    <w:p w14:paraId="5FC08F0C" w14:textId="509FE8F3" w:rsidR="004973CB" w:rsidRPr="004973CB" w:rsidRDefault="004A60E9" w:rsidP="004973CB">
      <w:pPr>
        <w:rPr>
          <w:rFonts w:asciiTheme="minorHAnsi" w:eastAsiaTheme="minorEastAsia" w:hAnsiTheme="minorHAnsi" w:cstheme="minorHAnsi"/>
          <w:color w:val="548DD4" w:themeColor="text2" w:themeTint="99"/>
          <w:kern w:val="24"/>
          <w:sz w:val="22"/>
          <w:szCs w:val="22"/>
          <w:u w:val="single"/>
        </w:rPr>
      </w:pPr>
      <w:r>
        <w:rPr>
          <w:rFonts w:ascii="Calibri" w:hAnsi="Calibri" w:cs="Arial"/>
          <w:sz w:val="22"/>
        </w:rPr>
        <w:t>The A</w:t>
      </w:r>
      <w:r w:rsidRPr="00567693">
        <w:rPr>
          <w:rFonts w:ascii="Calibri" w:hAnsi="Calibri" w:cs="Arial"/>
          <w:i/>
          <w:sz w:val="22"/>
        </w:rPr>
        <w:t>SHP Duty Hour Requirements for Pharmacy Residency Programs</w:t>
      </w:r>
      <w:r>
        <w:rPr>
          <w:rFonts w:ascii="Calibri" w:hAnsi="Calibri" w:cs="Arial"/>
          <w:sz w:val="22"/>
        </w:rPr>
        <w:t xml:space="preserve"> must be</w:t>
      </w:r>
      <w:r w:rsidRPr="002152C4">
        <w:rPr>
          <w:rFonts w:ascii="Calibri" w:hAnsi="Calibri" w:cs="Arial"/>
          <w:sz w:val="22"/>
        </w:rPr>
        <w:t xml:space="preserve"> followed</w:t>
      </w:r>
      <w:r>
        <w:rPr>
          <w:rFonts w:ascii="Calibri" w:hAnsi="Calibri" w:cs="Arial"/>
          <w:sz w:val="22"/>
        </w:rPr>
        <w:t xml:space="preserve"> by the program and the residents. </w:t>
      </w:r>
      <w:r w:rsidRPr="00567693">
        <w:rPr>
          <w:rFonts w:asciiTheme="minorHAnsi" w:eastAsiaTheme="minorEastAsia" w:hAnsiTheme="minorHAnsi" w:cstheme="minorHAnsi"/>
          <w:color w:val="000000" w:themeColor="text1"/>
          <w:kern w:val="24"/>
          <w:sz w:val="22"/>
          <w:szCs w:val="22"/>
        </w:rPr>
        <w:t xml:space="preserve">See ASHP website for complete duty hour </w:t>
      </w:r>
      <w:r>
        <w:rPr>
          <w:rFonts w:asciiTheme="minorHAnsi" w:eastAsiaTheme="minorEastAsia" w:hAnsiTheme="minorHAnsi" w:cstheme="minorHAnsi"/>
          <w:color w:val="000000" w:themeColor="text1"/>
          <w:kern w:val="24"/>
          <w:sz w:val="22"/>
          <w:szCs w:val="22"/>
        </w:rPr>
        <w:t xml:space="preserve">definitions and </w:t>
      </w:r>
      <w:r w:rsidRPr="00567693">
        <w:rPr>
          <w:rFonts w:asciiTheme="minorHAnsi" w:eastAsiaTheme="minorEastAsia" w:hAnsiTheme="minorHAnsi" w:cstheme="minorHAnsi"/>
          <w:color w:val="000000" w:themeColor="text1"/>
          <w:kern w:val="24"/>
          <w:sz w:val="22"/>
          <w:szCs w:val="22"/>
        </w:rPr>
        <w:t xml:space="preserve">requirements: </w:t>
      </w:r>
      <w:hyperlink r:id="rId13" w:history="1">
        <w:r>
          <w:rPr>
            <w:rFonts w:asciiTheme="minorHAnsi" w:eastAsiaTheme="minorEastAsia" w:hAnsiTheme="minorHAnsi" w:cstheme="minorHAnsi"/>
            <w:color w:val="548DD4" w:themeColor="text2" w:themeTint="99"/>
            <w:kern w:val="24"/>
            <w:sz w:val="22"/>
            <w:szCs w:val="22"/>
            <w:u w:val="single"/>
          </w:rPr>
          <w:t>ASHP Duty Hour Requirements for Pharmacy Residencies</w:t>
        </w:r>
      </w:hyperlink>
    </w:p>
    <w:p w14:paraId="258602ED" w14:textId="77777777" w:rsidR="004973CB" w:rsidRDefault="004973CB" w:rsidP="004A60E9">
      <w:pPr>
        <w:spacing w:line="216" w:lineRule="auto"/>
        <w:contextualSpacing/>
        <w:rPr>
          <w:rFonts w:asciiTheme="minorHAnsi" w:eastAsiaTheme="minorEastAsia" w:hAnsiTheme="minorHAnsi" w:cstheme="minorHAnsi"/>
          <w:color w:val="000000" w:themeColor="text1"/>
          <w:kern w:val="24"/>
          <w:sz w:val="22"/>
          <w:szCs w:val="22"/>
        </w:rPr>
      </w:pPr>
    </w:p>
    <w:p w14:paraId="750AB209" w14:textId="793C9DFE" w:rsidR="004A60E9" w:rsidRDefault="004A60E9" w:rsidP="004A60E9">
      <w:pPr>
        <w:spacing w:line="216" w:lineRule="auto"/>
        <w:contextualSpacing/>
        <w:rPr>
          <w:rFonts w:asciiTheme="minorHAnsi" w:eastAsiaTheme="minorEastAsia" w:hAnsiTheme="minorHAnsi" w:cstheme="minorHAnsi"/>
          <w:color w:val="000000" w:themeColor="text1"/>
          <w:kern w:val="24"/>
          <w:sz w:val="22"/>
          <w:szCs w:val="22"/>
        </w:rPr>
      </w:pPr>
      <w:r w:rsidRPr="004742E0">
        <w:rPr>
          <w:rFonts w:asciiTheme="minorHAnsi" w:eastAsiaTheme="minorEastAsia" w:hAnsiTheme="minorHAnsi" w:cstheme="minorHAnsi"/>
          <w:color w:val="000000" w:themeColor="text1"/>
          <w:kern w:val="24"/>
          <w:sz w:val="22"/>
          <w:szCs w:val="22"/>
        </w:rPr>
        <w:t>Moonlighting is defined as any voluntary, compensated, work performed outside the organization (external), or within the organization where the resident is in training (internal). These are compensated hours beyond the resident’s salary and are not part of the scheduled duty periods of the residency program.</w:t>
      </w:r>
      <w:r>
        <w:rPr>
          <w:rFonts w:asciiTheme="minorHAnsi" w:eastAsiaTheme="minorEastAsia" w:hAnsiTheme="minorHAnsi" w:cstheme="minorHAnsi"/>
          <w:color w:val="000000" w:themeColor="text1"/>
          <w:kern w:val="24"/>
          <w:sz w:val="22"/>
          <w:szCs w:val="22"/>
        </w:rPr>
        <w:t xml:space="preserve"> </w:t>
      </w:r>
      <w:r w:rsidRPr="00567693">
        <w:rPr>
          <w:rFonts w:asciiTheme="minorHAnsi" w:eastAsiaTheme="minorEastAsia" w:hAnsiTheme="minorHAnsi" w:cstheme="minorHAnsi"/>
          <w:color w:val="000000" w:themeColor="text1"/>
          <w:kern w:val="24"/>
          <w:sz w:val="22"/>
          <w:szCs w:val="22"/>
        </w:rPr>
        <w:t xml:space="preserve">External </w:t>
      </w:r>
      <w:r>
        <w:rPr>
          <w:rFonts w:asciiTheme="minorHAnsi" w:eastAsiaTheme="minorEastAsia" w:hAnsiTheme="minorHAnsi" w:cstheme="minorHAnsi"/>
          <w:color w:val="000000" w:themeColor="text1"/>
          <w:kern w:val="24"/>
          <w:sz w:val="22"/>
          <w:szCs w:val="22"/>
        </w:rPr>
        <w:t xml:space="preserve">moonlighting </w:t>
      </w:r>
      <w:r w:rsidR="003D4103">
        <w:rPr>
          <w:rFonts w:asciiTheme="minorHAnsi" w:eastAsiaTheme="minorEastAsia" w:hAnsiTheme="minorHAnsi" w:cstheme="minorHAnsi"/>
          <w:color w:val="000000" w:themeColor="text1"/>
          <w:kern w:val="24"/>
          <w:sz w:val="22"/>
          <w:szCs w:val="22"/>
        </w:rPr>
        <w:t xml:space="preserve">by residents </w:t>
      </w:r>
      <w:r>
        <w:rPr>
          <w:rFonts w:asciiTheme="minorHAnsi" w:eastAsiaTheme="minorEastAsia" w:hAnsiTheme="minorHAnsi" w:cstheme="minorHAnsi"/>
          <w:color w:val="000000" w:themeColor="text1"/>
          <w:kern w:val="24"/>
          <w:sz w:val="22"/>
          <w:szCs w:val="22"/>
        </w:rPr>
        <w:t xml:space="preserve">is not allowed. </w:t>
      </w:r>
      <w:r w:rsidRPr="00567693">
        <w:rPr>
          <w:rFonts w:asciiTheme="minorHAnsi" w:eastAsiaTheme="minorEastAsia" w:hAnsiTheme="minorHAnsi" w:cstheme="minorHAnsi"/>
          <w:color w:val="000000" w:themeColor="text1"/>
          <w:kern w:val="24"/>
          <w:sz w:val="22"/>
          <w:szCs w:val="22"/>
        </w:rPr>
        <w:t xml:space="preserve">Internal resident moonlighting is allowed with RPD approval. </w:t>
      </w:r>
      <w:r>
        <w:rPr>
          <w:rFonts w:asciiTheme="minorHAnsi" w:eastAsiaTheme="minorEastAsia" w:hAnsiTheme="minorHAnsi" w:cstheme="minorHAnsi"/>
          <w:color w:val="000000" w:themeColor="text1"/>
          <w:kern w:val="24"/>
          <w:sz w:val="22"/>
          <w:szCs w:val="22"/>
        </w:rPr>
        <w:t>Moonlighting is limited to</w:t>
      </w:r>
      <w:r w:rsidRPr="00567693">
        <w:rPr>
          <w:rFonts w:asciiTheme="minorHAnsi" w:eastAsiaTheme="minorEastAsia" w:hAnsiTheme="minorHAnsi" w:cstheme="minorHAnsi"/>
          <w:color w:val="000000" w:themeColor="text1"/>
          <w:kern w:val="24"/>
          <w:sz w:val="22"/>
          <w:szCs w:val="22"/>
        </w:rPr>
        <w:t xml:space="preserve"> </w:t>
      </w:r>
      <w:r>
        <w:rPr>
          <w:rFonts w:asciiTheme="minorHAnsi" w:eastAsiaTheme="minorEastAsia" w:hAnsiTheme="minorHAnsi" w:cstheme="minorHAnsi"/>
          <w:color w:val="000000" w:themeColor="text1"/>
          <w:kern w:val="24"/>
          <w:sz w:val="22"/>
          <w:szCs w:val="22"/>
        </w:rPr>
        <w:t>eight</w:t>
      </w:r>
      <w:r w:rsidRPr="00567693">
        <w:rPr>
          <w:rFonts w:asciiTheme="minorHAnsi" w:eastAsiaTheme="minorEastAsia" w:hAnsiTheme="minorHAnsi" w:cstheme="minorHAnsi"/>
          <w:color w:val="000000" w:themeColor="text1"/>
          <w:kern w:val="24"/>
          <w:sz w:val="22"/>
          <w:szCs w:val="22"/>
        </w:rPr>
        <w:t xml:space="preserve"> hours of moonlighting per week. If there is concern that moonlighting is affecting the resident’s performance, moonlighting privileges will be suspended.</w:t>
      </w:r>
    </w:p>
    <w:p w14:paraId="6D53E4F0" w14:textId="77777777" w:rsidR="001D0AA8" w:rsidRDefault="001D0AA8" w:rsidP="004A60E9">
      <w:pPr>
        <w:spacing w:line="216" w:lineRule="auto"/>
        <w:contextualSpacing/>
        <w:rPr>
          <w:rFonts w:asciiTheme="minorHAnsi" w:eastAsiaTheme="minorEastAsia" w:hAnsiTheme="minorHAnsi" w:cstheme="minorHAnsi"/>
          <w:color w:val="000000" w:themeColor="text1"/>
          <w:kern w:val="24"/>
          <w:sz w:val="22"/>
          <w:szCs w:val="22"/>
        </w:rPr>
      </w:pPr>
    </w:p>
    <w:p w14:paraId="57172735" w14:textId="73D2A8DD" w:rsidR="00EF17A1" w:rsidRPr="00EF17A1" w:rsidRDefault="001D0AA8" w:rsidP="00EF17A1">
      <w:pPr>
        <w:spacing w:line="216" w:lineRule="auto"/>
        <w:contextualSpacing/>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color w:val="000000" w:themeColor="text1"/>
          <w:kern w:val="24"/>
          <w:sz w:val="22"/>
          <w:szCs w:val="22"/>
        </w:rPr>
        <w:t xml:space="preserve">Residents are </w:t>
      </w:r>
      <w:r w:rsidR="008B7A57">
        <w:rPr>
          <w:rFonts w:asciiTheme="minorHAnsi" w:eastAsiaTheme="minorEastAsia" w:hAnsiTheme="minorHAnsi" w:cstheme="minorHAnsi"/>
          <w:color w:val="000000" w:themeColor="text1"/>
          <w:kern w:val="24"/>
          <w:sz w:val="22"/>
          <w:szCs w:val="22"/>
        </w:rPr>
        <w:t>required to</w:t>
      </w:r>
      <w:r w:rsidR="00937C62">
        <w:rPr>
          <w:rFonts w:asciiTheme="minorHAnsi" w:eastAsiaTheme="minorEastAsia" w:hAnsiTheme="minorHAnsi" w:cstheme="minorHAnsi"/>
          <w:color w:val="000000" w:themeColor="text1"/>
          <w:kern w:val="24"/>
          <w:sz w:val="22"/>
          <w:szCs w:val="22"/>
        </w:rPr>
        <w:t xml:space="preserve"> take at</w:t>
      </w:r>
      <w:r w:rsidR="0049408F">
        <w:rPr>
          <w:rFonts w:asciiTheme="minorHAnsi" w:eastAsiaTheme="minorEastAsia" w:hAnsiTheme="minorHAnsi" w:cstheme="minorHAnsi"/>
          <w:color w:val="000000" w:themeColor="text1"/>
          <w:kern w:val="24"/>
          <w:sz w:val="22"/>
          <w:szCs w:val="22"/>
        </w:rPr>
        <w:t>-</w:t>
      </w:r>
      <w:r w:rsidR="00937C62">
        <w:rPr>
          <w:rFonts w:asciiTheme="minorHAnsi" w:eastAsiaTheme="minorEastAsia" w:hAnsiTheme="minorHAnsi" w:cstheme="minorHAnsi"/>
          <w:color w:val="000000" w:themeColor="text1"/>
          <w:kern w:val="24"/>
          <w:sz w:val="22"/>
          <w:szCs w:val="22"/>
        </w:rPr>
        <w:t xml:space="preserve">home call </w:t>
      </w:r>
      <w:r w:rsidR="001E6B19">
        <w:rPr>
          <w:rFonts w:asciiTheme="minorHAnsi" w:eastAsiaTheme="minorEastAsia" w:hAnsiTheme="minorHAnsi" w:cstheme="minorHAnsi"/>
          <w:color w:val="000000" w:themeColor="text1"/>
          <w:kern w:val="24"/>
          <w:sz w:val="22"/>
          <w:szCs w:val="22"/>
        </w:rPr>
        <w:t xml:space="preserve">approximately </w:t>
      </w:r>
      <w:r w:rsidR="00795662">
        <w:rPr>
          <w:rFonts w:asciiTheme="minorHAnsi" w:eastAsiaTheme="minorEastAsia" w:hAnsiTheme="minorHAnsi" w:cstheme="minorHAnsi"/>
          <w:color w:val="000000" w:themeColor="text1"/>
          <w:kern w:val="24"/>
          <w:sz w:val="22"/>
          <w:szCs w:val="22"/>
        </w:rPr>
        <w:t xml:space="preserve">every </w:t>
      </w:r>
      <w:r w:rsidR="004335E0">
        <w:rPr>
          <w:rFonts w:asciiTheme="minorHAnsi" w:eastAsiaTheme="minorEastAsia" w:hAnsiTheme="minorHAnsi" w:cstheme="minorHAnsi"/>
          <w:color w:val="000000" w:themeColor="text1"/>
          <w:kern w:val="24"/>
          <w:sz w:val="22"/>
          <w:szCs w:val="22"/>
        </w:rPr>
        <w:t>fourth weekend, on the same weekend as the resident’s required staffing</w:t>
      </w:r>
      <w:r w:rsidR="00882DB5">
        <w:rPr>
          <w:rFonts w:asciiTheme="minorHAnsi" w:eastAsiaTheme="minorEastAsia" w:hAnsiTheme="minorHAnsi" w:cstheme="minorHAnsi"/>
          <w:color w:val="000000" w:themeColor="text1"/>
          <w:kern w:val="24"/>
          <w:sz w:val="22"/>
          <w:szCs w:val="22"/>
        </w:rPr>
        <w:t>.</w:t>
      </w:r>
      <w:r w:rsidR="004335E0">
        <w:rPr>
          <w:rFonts w:asciiTheme="minorHAnsi" w:eastAsiaTheme="minorEastAsia" w:hAnsiTheme="minorHAnsi" w:cstheme="minorHAnsi"/>
          <w:color w:val="000000" w:themeColor="text1"/>
          <w:kern w:val="24"/>
          <w:sz w:val="22"/>
          <w:szCs w:val="22"/>
        </w:rPr>
        <w:t xml:space="preserve"> </w:t>
      </w:r>
      <w:r w:rsidR="00531B20">
        <w:rPr>
          <w:rFonts w:asciiTheme="minorHAnsi" w:eastAsiaTheme="minorEastAsia" w:hAnsiTheme="minorHAnsi" w:cstheme="minorHAnsi"/>
          <w:color w:val="000000" w:themeColor="text1"/>
          <w:kern w:val="24"/>
          <w:sz w:val="22"/>
          <w:szCs w:val="22"/>
        </w:rPr>
        <w:t xml:space="preserve">At-home call responsibilities include </w:t>
      </w:r>
      <w:r w:rsidR="001A770A">
        <w:rPr>
          <w:rFonts w:asciiTheme="minorHAnsi" w:eastAsiaTheme="minorEastAsia" w:hAnsiTheme="minorHAnsi" w:cstheme="minorHAnsi"/>
          <w:color w:val="000000" w:themeColor="text1"/>
          <w:kern w:val="24"/>
          <w:sz w:val="22"/>
          <w:szCs w:val="22"/>
        </w:rPr>
        <w:t xml:space="preserve">providing </w:t>
      </w:r>
      <w:r w:rsidR="007A4A3F">
        <w:rPr>
          <w:rFonts w:asciiTheme="minorHAnsi" w:eastAsiaTheme="minorEastAsia" w:hAnsiTheme="minorHAnsi" w:cstheme="minorHAnsi"/>
          <w:color w:val="000000" w:themeColor="text1"/>
          <w:kern w:val="24"/>
          <w:sz w:val="22"/>
          <w:szCs w:val="22"/>
        </w:rPr>
        <w:t>the</w:t>
      </w:r>
      <w:r w:rsidR="00104E6C">
        <w:rPr>
          <w:rFonts w:asciiTheme="minorHAnsi" w:eastAsiaTheme="minorEastAsia" w:hAnsiTheme="minorHAnsi" w:cstheme="minorHAnsi"/>
          <w:color w:val="000000" w:themeColor="text1"/>
          <w:kern w:val="24"/>
          <w:sz w:val="22"/>
          <w:szCs w:val="22"/>
        </w:rPr>
        <w:t xml:space="preserve"> weekend </w:t>
      </w:r>
      <w:r w:rsidR="007A4A3F">
        <w:rPr>
          <w:rFonts w:asciiTheme="minorHAnsi" w:eastAsiaTheme="minorEastAsia" w:hAnsiTheme="minorHAnsi" w:cstheme="minorHAnsi"/>
          <w:color w:val="000000" w:themeColor="text1"/>
          <w:kern w:val="24"/>
          <w:sz w:val="22"/>
          <w:szCs w:val="22"/>
        </w:rPr>
        <w:t>evening and night shift pharmacist</w:t>
      </w:r>
      <w:r w:rsidR="00104E6C">
        <w:rPr>
          <w:rFonts w:asciiTheme="minorHAnsi" w:eastAsiaTheme="minorEastAsia" w:hAnsiTheme="minorHAnsi" w:cstheme="minorHAnsi"/>
          <w:color w:val="000000" w:themeColor="text1"/>
          <w:kern w:val="24"/>
          <w:sz w:val="22"/>
          <w:szCs w:val="22"/>
        </w:rPr>
        <w:t>s</w:t>
      </w:r>
      <w:r w:rsidR="007A4A3F">
        <w:rPr>
          <w:rFonts w:asciiTheme="minorHAnsi" w:eastAsiaTheme="minorEastAsia" w:hAnsiTheme="minorHAnsi" w:cstheme="minorHAnsi"/>
          <w:color w:val="000000" w:themeColor="text1"/>
          <w:kern w:val="24"/>
          <w:sz w:val="22"/>
          <w:szCs w:val="22"/>
        </w:rPr>
        <w:t xml:space="preserve"> </w:t>
      </w:r>
      <w:r w:rsidR="00587BC2">
        <w:rPr>
          <w:rFonts w:asciiTheme="minorHAnsi" w:eastAsiaTheme="minorEastAsia" w:hAnsiTheme="minorHAnsi" w:cstheme="minorHAnsi"/>
          <w:color w:val="000000" w:themeColor="text1"/>
          <w:kern w:val="24"/>
          <w:sz w:val="22"/>
          <w:szCs w:val="22"/>
        </w:rPr>
        <w:t>assistance</w:t>
      </w:r>
      <w:r w:rsidR="007A4A3F">
        <w:rPr>
          <w:rFonts w:asciiTheme="minorHAnsi" w:eastAsiaTheme="minorEastAsia" w:hAnsiTheme="minorHAnsi" w:cstheme="minorHAnsi"/>
          <w:color w:val="000000" w:themeColor="text1"/>
          <w:kern w:val="24"/>
          <w:sz w:val="22"/>
          <w:szCs w:val="22"/>
        </w:rPr>
        <w:t xml:space="preserve"> with drug information</w:t>
      </w:r>
      <w:r w:rsidR="004B5A9D">
        <w:rPr>
          <w:rFonts w:asciiTheme="minorHAnsi" w:eastAsiaTheme="minorEastAsia" w:hAnsiTheme="minorHAnsi" w:cstheme="minorHAnsi"/>
          <w:color w:val="000000" w:themeColor="text1"/>
          <w:kern w:val="24"/>
          <w:sz w:val="22"/>
          <w:szCs w:val="22"/>
        </w:rPr>
        <w:t xml:space="preserve"> questions, patient issues, and</w:t>
      </w:r>
      <w:r w:rsidR="00F87C7F">
        <w:rPr>
          <w:rFonts w:asciiTheme="minorHAnsi" w:eastAsiaTheme="minorEastAsia" w:hAnsiTheme="minorHAnsi" w:cstheme="minorHAnsi"/>
          <w:color w:val="000000" w:themeColor="text1"/>
          <w:kern w:val="24"/>
          <w:sz w:val="22"/>
          <w:szCs w:val="22"/>
        </w:rPr>
        <w:t xml:space="preserve"> infrequently </w:t>
      </w:r>
      <w:r w:rsidR="00F94B46">
        <w:rPr>
          <w:rFonts w:asciiTheme="minorHAnsi" w:eastAsiaTheme="minorEastAsia" w:hAnsiTheme="minorHAnsi" w:cstheme="minorHAnsi"/>
          <w:color w:val="000000" w:themeColor="text1"/>
          <w:kern w:val="24"/>
          <w:sz w:val="22"/>
          <w:szCs w:val="22"/>
        </w:rPr>
        <w:t xml:space="preserve">residents </w:t>
      </w:r>
      <w:r w:rsidR="00F87C7F">
        <w:rPr>
          <w:rFonts w:asciiTheme="minorHAnsi" w:eastAsiaTheme="minorEastAsia" w:hAnsiTheme="minorHAnsi" w:cstheme="minorHAnsi"/>
          <w:color w:val="000000" w:themeColor="text1"/>
          <w:kern w:val="24"/>
          <w:sz w:val="22"/>
          <w:szCs w:val="22"/>
        </w:rPr>
        <w:t>may</w:t>
      </w:r>
      <w:r w:rsidR="00B40C8D">
        <w:rPr>
          <w:rFonts w:asciiTheme="minorHAnsi" w:eastAsiaTheme="minorEastAsia" w:hAnsiTheme="minorHAnsi" w:cstheme="minorHAnsi"/>
          <w:color w:val="000000" w:themeColor="text1"/>
          <w:kern w:val="24"/>
          <w:sz w:val="22"/>
          <w:szCs w:val="22"/>
        </w:rPr>
        <w:t xml:space="preserve"> be asked to provide remote</w:t>
      </w:r>
      <w:r w:rsidR="00427659">
        <w:rPr>
          <w:rFonts w:asciiTheme="minorHAnsi" w:eastAsiaTheme="minorEastAsia" w:hAnsiTheme="minorHAnsi" w:cstheme="minorHAnsi"/>
          <w:color w:val="000000" w:themeColor="text1"/>
          <w:kern w:val="24"/>
          <w:sz w:val="22"/>
          <w:szCs w:val="22"/>
        </w:rPr>
        <w:t xml:space="preserve"> order verification.</w:t>
      </w:r>
      <w:r w:rsidR="001A770A">
        <w:rPr>
          <w:rFonts w:asciiTheme="minorHAnsi" w:eastAsiaTheme="minorEastAsia" w:hAnsiTheme="minorHAnsi" w:cstheme="minorHAnsi"/>
          <w:color w:val="000000" w:themeColor="text1"/>
          <w:kern w:val="24"/>
          <w:sz w:val="22"/>
          <w:szCs w:val="22"/>
        </w:rPr>
        <w:t xml:space="preserve"> </w:t>
      </w:r>
    </w:p>
    <w:p w14:paraId="2112607A" w14:textId="2877DF72" w:rsidR="001D0AA8" w:rsidRDefault="004335E0" w:rsidP="00EF17A1">
      <w:pPr>
        <w:pStyle w:val="ListParagraph"/>
        <w:numPr>
          <w:ilvl w:val="0"/>
          <w:numId w:val="14"/>
        </w:numPr>
        <w:spacing w:line="216" w:lineRule="auto"/>
        <w:rPr>
          <w:rFonts w:asciiTheme="minorHAnsi" w:eastAsiaTheme="minorEastAsia" w:hAnsiTheme="minorHAnsi" w:cstheme="minorHAnsi"/>
          <w:color w:val="000000" w:themeColor="text1"/>
          <w:kern w:val="24"/>
          <w:sz w:val="22"/>
          <w:szCs w:val="22"/>
        </w:rPr>
      </w:pPr>
      <w:r w:rsidRPr="00EF17A1">
        <w:rPr>
          <w:rFonts w:asciiTheme="minorHAnsi" w:eastAsiaTheme="minorEastAsia" w:hAnsiTheme="minorHAnsi" w:cstheme="minorHAnsi"/>
          <w:color w:val="000000" w:themeColor="text1"/>
          <w:kern w:val="24"/>
          <w:sz w:val="22"/>
          <w:szCs w:val="22"/>
        </w:rPr>
        <w:t>At</w:t>
      </w:r>
      <w:r w:rsidR="0049408F" w:rsidRPr="00EF17A1">
        <w:rPr>
          <w:rFonts w:asciiTheme="minorHAnsi" w:eastAsiaTheme="minorEastAsia" w:hAnsiTheme="minorHAnsi" w:cstheme="minorHAnsi"/>
          <w:color w:val="000000" w:themeColor="text1"/>
          <w:kern w:val="24"/>
          <w:sz w:val="22"/>
          <w:szCs w:val="22"/>
        </w:rPr>
        <w:t>-</w:t>
      </w:r>
      <w:r w:rsidRPr="00EF17A1">
        <w:rPr>
          <w:rFonts w:asciiTheme="minorHAnsi" w:eastAsiaTheme="minorEastAsia" w:hAnsiTheme="minorHAnsi" w:cstheme="minorHAnsi"/>
          <w:color w:val="000000" w:themeColor="text1"/>
          <w:kern w:val="24"/>
          <w:sz w:val="22"/>
          <w:szCs w:val="22"/>
        </w:rPr>
        <w:t>ho</w:t>
      </w:r>
      <w:r w:rsidR="0049408F" w:rsidRPr="00EF17A1">
        <w:rPr>
          <w:rFonts w:asciiTheme="minorHAnsi" w:eastAsiaTheme="minorEastAsia" w:hAnsiTheme="minorHAnsi" w:cstheme="minorHAnsi"/>
          <w:color w:val="000000" w:themeColor="text1"/>
          <w:kern w:val="24"/>
          <w:sz w:val="22"/>
          <w:szCs w:val="22"/>
        </w:rPr>
        <w:t>me call will start at 5pm on Friday and end at 8am on Monday</w:t>
      </w:r>
      <w:r w:rsidR="002430FB" w:rsidRPr="00EF17A1">
        <w:rPr>
          <w:rFonts w:asciiTheme="minorHAnsi" w:eastAsiaTheme="minorEastAsia" w:hAnsiTheme="minorHAnsi" w:cstheme="minorHAnsi"/>
          <w:color w:val="000000" w:themeColor="text1"/>
          <w:kern w:val="24"/>
          <w:sz w:val="22"/>
          <w:szCs w:val="22"/>
        </w:rPr>
        <w:t xml:space="preserve">. </w:t>
      </w:r>
    </w:p>
    <w:p w14:paraId="6FF289EC" w14:textId="39C97F69" w:rsidR="00721F70" w:rsidRDefault="000B7489" w:rsidP="00EF17A1">
      <w:pPr>
        <w:pStyle w:val="ListParagraph"/>
        <w:numPr>
          <w:ilvl w:val="0"/>
          <w:numId w:val="14"/>
        </w:numPr>
        <w:spacing w:line="216" w:lineRule="auto"/>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color w:val="000000" w:themeColor="text1"/>
          <w:kern w:val="24"/>
          <w:sz w:val="22"/>
          <w:szCs w:val="22"/>
        </w:rPr>
        <w:t>The RPD or designee will be assigned</w:t>
      </w:r>
      <w:r w:rsidR="00B66FC7">
        <w:rPr>
          <w:rFonts w:asciiTheme="minorHAnsi" w:eastAsiaTheme="minorEastAsia" w:hAnsiTheme="minorHAnsi" w:cstheme="minorHAnsi"/>
          <w:color w:val="000000" w:themeColor="text1"/>
          <w:kern w:val="24"/>
          <w:sz w:val="22"/>
          <w:szCs w:val="22"/>
        </w:rPr>
        <w:t xml:space="preserve"> </w:t>
      </w:r>
      <w:r w:rsidR="003A2411">
        <w:rPr>
          <w:rFonts w:asciiTheme="minorHAnsi" w:eastAsiaTheme="minorEastAsia" w:hAnsiTheme="minorHAnsi" w:cstheme="minorHAnsi"/>
          <w:color w:val="000000" w:themeColor="text1"/>
          <w:kern w:val="24"/>
          <w:sz w:val="22"/>
          <w:szCs w:val="22"/>
        </w:rPr>
        <w:t>for the resident to contact</w:t>
      </w:r>
      <w:r w:rsidR="00612B15">
        <w:rPr>
          <w:rFonts w:asciiTheme="minorHAnsi" w:eastAsiaTheme="minorEastAsia" w:hAnsiTheme="minorHAnsi" w:cstheme="minorHAnsi"/>
          <w:color w:val="000000" w:themeColor="text1"/>
          <w:kern w:val="24"/>
          <w:sz w:val="22"/>
          <w:szCs w:val="22"/>
        </w:rPr>
        <w:t xml:space="preserve"> for</w:t>
      </w:r>
      <w:r w:rsidR="008A77EF">
        <w:rPr>
          <w:rFonts w:asciiTheme="minorHAnsi" w:eastAsiaTheme="minorEastAsia" w:hAnsiTheme="minorHAnsi" w:cstheme="minorHAnsi"/>
          <w:color w:val="000000" w:themeColor="text1"/>
          <w:kern w:val="24"/>
          <w:sz w:val="22"/>
          <w:szCs w:val="22"/>
        </w:rPr>
        <w:t xml:space="preserve"> guidance or assistance</w:t>
      </w:r>
      <w:r w:rsidR="00AF7B30">
        <w:rPr>
          <w:rFonts w:asciiTheme="minorHAnsi" w:eastAsiaTheme="minorEastAsia" w:hAnsiTheme="minorHAnsi" w:cstheme="minorHAnsi"/>
          <w:color w:val="000000" w:themeColor="text1"/>
          <w:kern w:val="24"/>
          <w:sz w:val="22"/>
          <w:szCs w:val="22"/>
        </w:rPr>
        <w:t xml:space="preserve"> duri</w:t>
      </w:r>
      <w:r w:rsidR="00372BD8">
        <w:rPr>
          <w:rFonts w:asciiTheme="minorHAnsi" w:eastAsiaTheme="minorEastAsia" w:hAnsiTheme="minorHAnsi" w:cstheme="minorHAnsi"/>
          <w:color w:val="000000" w:themeColor="text1"/>
          <w:kern w:val="24"/>
          <w:sz w:val="22"/>
          <w:szCs w:val="22"/>
        </w:rPr>
        <w:t>ng their at-home call</w:t>
      </w:r>
      <w:r w:rsidR="008A77EF">
        <w:rPr>
          <w:rFonts w:asciiTheme="minorHAnsi" w:eastAsiaTheme="minorEastAsia" w:hAnsiTheme="minorHAnsi" w:cstheme="minorHAnsi"/>
          <w:color w:val="000000" w:themeColor="text1"/>
          <w:kern w:val="24"/>
          <w:sz w:val="22"/>
          <w:szCs w:val="22"/>
        </w:rPr>
        <w:t>.</w:t>
      </w:r>
    </w:p>
    <w:p w14:paraId="365CF5D6" w14:textId="77777777" w:rsidR="004A60E9" w:rsidRDefault="004A60E9" w:rsidP="004A60E9">
      <w:pPr>
        <w:spacing w:line="216" w:lineRule="auto"/>
        <w:contextualSpacing/>
        <w:rPr>
          <w:rFonts w:asciiTheme="minorHAnsi" w:hAnsiTheme="minorHAnsi" w:cstheme="minorHAnsi"/>
          <w:color w:val="72A9E0"/>
          <w:sz w:val="22"/>
          <w:szCs w:val="22"/>
        </w:rPr>
      </w:pPr>
    </w:p>
    <w:p w14:paraId="274FE23E" w14:textId="6C31E017" w:rsidR="004A60E9" w:rsidRDefault="004A60E9" w:rsidP="004A60E9">
      <w:pPr>
        <w:spacing w:line="216" w:lineRule="auto"/>
        <w:rPr>
          <w:rFonts w:asciiTheme="minorHAnsi" w:eastAsiaTheme="minorEastAsia" w:hAnsiTheme="minorHAnsi" w:cstheme="minorHAnsi"/>
          <w:color w:val="000000" w:themeColor="text1"/>
          <w:kern w:val="24"/>
          <w:sz w:val="22"/>
          <w:szCs w:val="22"/>
        </w:rPr>
      </w:pPr>
      <w:r>
        <w:rPr>
          <w:rFonts w:asciiTheme="minorHAnsi" w:eastAsiaTheme="minorEastAsia" w:hAnsiTheme="minorHAnsi" w:cstheme="minorHAnsi"/>
          <w:color w:val="000000" w:themeColor="text1"/>
          <w:kern w:val="24"/>
          <w:sz w:val="22"/>
          <w:szCs w:val="22"/>
        </w:rPr>
        <w:t xml:space="preserve">Residents </w:t>
      </w:r>
      <w:r w:rsidR="0063610A">
        <w:rPr>
          <w:rFonts w:asciiTheme="minorHAnsi" w:eastAsiaTheme="minorEastAsia" w:hAnsiTheme="minorHAnsi" w:cstheme="minorHAnsi"/>
          <w:color w:val="000000" w:themeColor="text1"/>
          <w:kern w:val="24"/>
          <w:sz w:val="22"/>
          <w:szCs w:val="22"/>
        </w:rPr>
        <w:t xml:space="preserve">must complete </w:t>
      </w:r>
      <w:r>
        <w:rPr>
          <w:rFonts w:asciiTheme="minorHAnsi" w:eastAsiaTheme="minorEastAsia" w:hAnsiTheme="minorHAnsi" w:cstheme="minorHAnsi"/>
          <w:color w:val="000000" w:themeColor="text1"/>
          <w:kern w:val="24"/>
          <w:sz w:val="22"/>
          <w:szCs w:val="22"/>
        </w:rPr>
        <w:t>the Duty hour Attestation monthly in PharmAcademic™. The RPD will review resident attestations to monitor compliance with duty hour requirements, including moonlighting</w:t>
      </w:r>
      <w:r w:rsidR="004973CB">
        <w:rPr>
          <w:rFonts w:asciiTheme="minorHAnsi" w:eastAsiaTheme="minorEastAsia" w:hAnsiTheme="minorHAnsi" w:cstheme="minorHAnsi"/>
          <w:color w:val="000000" w:themeColor="text1"/>
          <w:kern w:val="24"/>
          <w:sz w:val="22"/>
          <w:szCs w:val="22"/>
        </w:rPr>
        <w:t xml:space="preserve"> and at-home call</w:t>
      </w:r>
      <w:r>
        <w:rPr>
          <w:rFonts w:asciiTheme="minorHAnsi" w:eastAsiaTheme="minorEastAsia" w:hAnsiTheme="minorHAnsi" w:cstheme="minorHAnsi"/>
          <w:color w:val="000000" w:themeColor="text1"/>
          <w:kern w:val="24"/>
          <w:sz w:val="22"/>
          <w:szCs w:val="22"/>
        </w:rPr>
        <w:t>.</w:t>
      </w:r>
      <w:r w:rsidRPr="00567693">
        <w:rPr>
          <w:rFonts w:asciiTheme="minorHAnsi" w:eastAsiaTheme="minorEastAsia" w:hAnsiTheme="minorHAnsi" w:cstheme="minorHAnsi"/>
          <w:color w:val="000000" w:themeColor="text1"/>
          <w:kern w:val="24"/>
          <w:sz w:val="22"/>
          <w:szCs w:val="22"/>
        </w:rPr>
        <w:t xml:space="preserve"> </w:t>
      </w:r>
      <w:r w:rsidR="00025D25">
        <w:rPr>
          <w:rFonts w:asciiTheme="minorHAnsi" w:eastAsiaTheme="minorEastAsia" w:hAnsiTheme="minorHAnsi" w:cstheme="minorHAnsi"/>
          <w:color w:val="000000" w:themeColor="text1"/>
          <w:kern w:val="24"/>
          <w:sz w:val="22"/>
          <w:szCs w:val="22"/>
        </w:rPr>
        <w:t>Only</w:t>
      </w:r>
      <w:r w:rsidR="008A77EF" w:rsidRPr="008A77EF">
        <w:rPr>
          <w:rFonts w:asciiTheme="minorHAnsi" w:eastAsiaTheme="minorEastAsia" w:hAnsiTheme="minorHAnsi" w:cstheme="minorHAnsi"/>
          <w:color w:val="000000" w:themeColor="text1"/>
          <w:kern w:val="24"/>
          <w:sz w:val="22"/>
          <w:szCs w:val="22"/>
        </w:rPr>
        <w:t xml:space="preserve"> on-call related work activities</w:t>
      </w:r>
      <w:r w:rsidR="00EE35A9">
        <w:rPr>
          <w:rFonts w:asciiTheme="minorHAnsi" w:eastAsiaTheme="minorEastAsia" w:hAnsiTheme="minorHAnsi" w:cstheme="minorHAnsi"/>
          <w:color w:val="000000" w:themeColor="text1"/>
          <w:kern w:val="24"/>
          <w:sz w:val="22"/>
          <w:szCs w:val="22"/>
        </w:rPr>
        <w:t xml:space="preserve"> </w:t>
      </w:r>
      <w:r w:rsidR="008A77EF" w:rsidRPr="008A77EF">
        <w:rPr>
          <w:rFonts w:asciiTheme="minorHAnsi" w:eastAsiaTheme="minorEastAsia" w:hAnsiTheme="minorHAnsi" w:cstheme="minorHAnsi"/>
          <w:color w:val="000000" w:themeColor="text1"/>
          <w:kern w:val="24"/>
          <w:sz w:val="22"/>
          <w:szCs w:val="22"/>
        </w:rPr>
        <w:t xml:space="preserve">during </w:t>
      </w:r>
      <w:r w:rsidR="00372BD8">
        <w:rPr>
          <w:rFonts w:asciiTheme="minorHAnsi" w:eastAsiaTheme="minorEastAsia" w:hAnsiTheme="minorHAnsi" w:cstheme="minorHAnsi"/>
          <w:color w:val="000000" w:themeColor="text1"/>
          <w:kern w:val="24"/>
          <w:sz w:val="22"/>
          <w:szCs w:val="22"/>
        </w:rPr>
        <w:t xml:space="preserve">the </w:t>
      </w:r>
      <w:r w:rsidR="008A77EF" w:rsidRPr="008A77EF">
        <w:rPr>
          <w:rFonts w:asciiTheme="minorHAnsi" w:eastAsiaTheme="minorEastAsia" w:hAnsiTheme="minorHAnsi" w:cstheme="minorHAnsi"/>
          <w:color w:val="000000" w:themeColor="text1"/>
          <w:kern w:val="24"/>
          <w:sz w:val="22"/>
          <w:szCs w:val="22"/>
        </w:rPr>
        <w:t xml:space="preserve">assigned </w:t>
      </w:r>
      <w:r w:rsidR="00B05EBA">
        <w:rPr>
          <w:rFonts w:asciiTheme="minorHAnsi" w:eastAsiaTheme="minorEastAsia" w:hAnsiTheme="minorHAnsi" w:cstheme="minorHAnsi"/>
          <w:color w:val="000000" w:themeColor="text1"/>
          <w:kern w:val="24"/>
          <w:sz w:val="22"/>
          <w:szCs w:val="22"/>
        </w:rPr>
        <w:t>at-home</w:t>
      </w:r>
      <w:r w:rsidR="008A77EF" w:rsidRPr="008A77EF">
        <w:rPr>
          <w:rFonts w:asciiTheme="minorHAnsi" w:eastAsiaTheme="minorEastAsia" w:hAnsiTheme="minorHAnsi" w:cstheme="minorHAnsi"/>
          <w:color w:val="000000" w:themeColor="text1"/>
          <w:kern w:val="24"/>
          <w:sz w:val="22"/>
          <w:szCs w:val="22"/>
        </w:rPr>
        <w:t xml:space="preserve"> call hours</w:t>
      </w:r>
      <w:r w:rsidR="007F3D16">
        <w:rPr>
          <w:rFonts w:asciiTheme="minorHAnsi" w:eastAsiaTheme="minorEastAsia" w:hAnsiTheme="minorHAnsi" w:cstheme="minorHAnsi"/>
          <w:color w:val="000000" w:themeColor="text1"/>
          <w:kern w:val="24"/>
          <w:sz w:val="22"/>
          <w:szCs w:val="22"/>
        </w:rPr>
        <w:t xml:space="preserve"> (e.g.,</w:t>
      </w:r>
      <w:r w:rsidR="008A77EF" w:rsidRPr="008A77EF">
        <w:rPr>
          <w:rFonts w:asciiTheme="minorHAnsi" w:eastAsiaTheme="minorEastAsia" w:hAnsiTheme="minorHAnsi" w:cstheme="minorHAnsi"/>
          <w:color w:val="000000" w:themeColor="text1"/>
          <w:kern w:val="24"/>
          <w:sz w:val="22"/>
          <w:szCs w:val="22"/>
        </w:rPr>
        <w:t xml:space="preserve"> taking calls from home</w:t>
      </w:r>
      <w:r w:rsidR="007F3D16">
        <w:rPr>
          <w:rFonts w:asciiTheme="minorHAnsi" w:eastAsiaTheme="minorEastAsia" w:hAnsiTheme="minorHAnsi" w:cstheme="minorHAnsi"/>
          <w:color w:val="000000" w:themeColor="text1"/>
          <w:kern w:val="24"/>
          <w:sz w:val="22"/>
          <w:szCs w:val="22"/>
        </w:rPr>
        <w:t xml:space="preserve">, </w:t>
      </w:r>
      <w:r w:rsidR="008A77EF" w:rsidRPr="008A77EF">
        <w:rPr>
          <w:rFonts w:asciiTheme="minorHAnsi" w:eastAsiaTheme="minorEastAsia" w:hAnsiTheme="minorHAnsi" w:cstheme="minorHAnsi"/>
          <w:color w:val="000000" w:themeColor="text1"/>
          <w:kern w:val="24"/>
          <w:sz w:val="22"/>
          <w:szCs w:val="22"/>
        </w:rPr>
        <w:t>utilizing electronic health record related to at-home call</w:t>
      </w:r>
      <w:r w:rsidR="007F3D16">
        <w:rPr>
          <w:rFonts w:asciiTheme="minorHAnsi" w:eastAsiaTheme="minorEastAsia" w:hAnsiTheme="minorHAnsi" w:cstheme="minorHAnsi"/>
          <w:color w:val="000000" w:themeColor="text1"/>
          <w:kern w:val="24"/>
          <w:sz w:val="22"/>
          <w:szCs w:val="22"/>
        </w:rPr>
        <w:t>)</w:t>
      </w:r>
      <w:r w:rsidR="00EE35A9">
        <w:rPr>
          <w:rFonts w:asciiTheme="minorHAnsi" w:eastAsiaTheme="minorEastAsia" w:hAnsiTheme="minorHAnsi" w:cstheme="minorHAnsi"/>
          <w:color w:val="000000" w:themeColor="text1"/>
          <w:kern w:val="24"/>
          <w:sz w:val="22"/>
          <w:szCs w:val="22"/>
        </w:rPr>
        <w:t xml:space="preserve"> </w:t>
      </w:r>
      <w:r w:rsidR="00372BD8">
        <w:rPr>
          <w:rFonts w:asciiTheme="minorHAnsi" w:eastAsiaTheme="minorEastAsia" w:hAnsiTheme="minorHAnsi" w:cstheme="minorHAnsi"/>
          <w:color w:val="000000" w:themeColor="text1"/>
          <w:kern w:val="24"/>
          <w:sz w:val="22"/>
          <w:szCs w:val="22"/>
        </w:rPr>
        <w:t>should be documented</w:t>
      </w:r>
      <w:r w:rsidR="00372BD8" w:rsidRPr="008A77EF">
        <w:rPr>
          <w:rFonts w:asciiTheme="minorHAnsi" w:eastAsiaTheme="minorEastAsia" w:hAnsiTheme="minorHAnsi" w:cstheme="minorHAnsi"/>
          <w:color w:val="000000" w:themeColor="text1"/>
          <w:kern w:val="24"/>
          <w:sz w:val="22"/>
          <w:szCs w:val="22"/>
        </w:rPr>
        <w:t xml:space="preserve"> </w:t>
      </w:r>
      <w:r w:rsidR="00EE35A9">
        <w:rPr>
          <w:rFonts w:asciiTheme="minorHAnsi" w:eastAsiaTheme="minorEastAsia" w:hAnsiTheme="minorHAnsi" w:cstheme="minorHAnsi"/>
          <w:color w:val="000000" w:themeColor="text1"/>
          <w:kern w:val="24"/>
          <w:sz w:val="22"/>
          <w:szCs w:val="22"/>
        </w:rPr>
        <w:t>and</w:t>
      </w:r>
      <w:r w:rsidR="008A77EF" w:rsidRPr="008A77EF">
        <w:rPr>
          <w:rFonts w:asciiTheme="minorHAnsi" w:eastAsiaTheme="minorEastAsia" w:hAnsiTheme="minorHAnsi" w:cstheme="minorHAnsi"/>
          <w:color w:val="000000" w:themeColor="text1"/>
          <w:kern w:val="24"/>
          <w:sz w:val="22"/>
          <w:szCs w:val="22"/>
        </w:rPr>
        <w:t xml:space="preserve"> coun</w:t>
      </w:r>
      <w:r w:rsidR="000D267D">
        <w:rPr>
          <w:rFonts w:asciiTheme="minorHAnsi" w:eastAsiaTheme="minorEastAsia" w:hAnsiTheme="minorHAnsi" w:cstheme="minorHAnsi"/>
          <w:color w:val="000000" w:themeColor="text1"/>
          <w:kern w:val="24"/>
          <w:sz w:val="22"/>
          <w:szCs w:val="22"/>
        </w:rPr>
        <w:t>ted</w:t>
      </w:r>
      <w:r w:rsidR="008A77EF" w:rsidRPr="008A77EF">
        <w:rPr>
          <w:rFonts w:asciiTheme="minorHAnsi" w:eastAsiaTheme="minorEastAsia" w:hAnsiTheme="minorHAnsi" w:cstheme="minorHAnsi"/>
          <w:color w:val="000000" w:themeColor="text1"/>
          <w:kern w:val="24"/>
          <w:sz w:val="22"/>
          <w:szCs w:val="22"/>
        </w:rPr>
        <w:t xml:space="preserve"> towards the 80 hour maximum weekly hour limit.</w:t>
      </w:r>
      <w:r w:rsidR="007F3D16">
        <w:rPr>
          <w:rFonts w:asciiTheme="minorHAnsi" w:eastAsiaTheme="minorEastAsia" w:hAnsiTheme="minorHAnsi" w:cstheme="minorHAnsi"/>
          <w:color w:val="000000" w:themeColor="text1"/>
          <w:kern w:val="24"/>
          <w:sz w:val="22"/>
          <w:szCs w:val="22"/>
        </w:rPr>
        <w:t xml:space="preserve"> </w:t>
      </w:r>
      <w:r>
        <w:rPr>
          <w:rFonts w:asciiTheme="minorHAnsi" w:eastAsiaTheme="minorEastAsia" w:hAnsiTheme="minorHAnsi" w:cstheme="minorHAnsi"/>
          <w:color w:val="000000" w:themeColor="text1"/>
          <w:kern w:val="24"/>
          <w:sz w:val="22"/>
          <w:szCs w:val="22"/>
        </w:rPr>
        <w:t>A</w:t>
      </w:r>
      <w:r w:rsidRPr="00567693">
        <w:rPr>
          <w:rFonts w:asciiTheme="minorHAnsi" w:eastAsiaTheme="minorEastAsia" w:hAnsiTheme="minorHAnsi" w:cstheme="minorHAnsi"/>
          <w:color w:val="000000" w:themeColor="text1"/>
          <w:kern w:val="24"/>
          <w:sz w:val="22"/>
          <w:szCs w:val="22"/>
        </w:rPr>
        <w:t xml:space="preserve">ny instance of non-compliance </w:t>
      </w:r>
      <w:r w:rsidR="000D267D">
        <w:rPr>
          <w:rFonts w:asciiTheme="minorHAnsi" w:eastAsiaTheme="minorEastAsia" w:hAnsiTheme="minorHAnsi" w:cstheme="minorHAnsi"/>
          <w:color w:val="000000" w:themeColor="text1"/>
          <w:kern w:val="24"/>
          <w:sz w:val="22"/>
          <w:szCs w:val="22"/>
        </w:rPr>
        <w:t xml:space="preserve">with duty hour requirements </w:t>
      </w:r>
      <w:r w:rsidRPr="00567693">
        <w:rPr>
          <w:rFonts w:asciiTheme="minorHAnsi" w:eastAsiaTheme="minorEastAsia" w:hAnsiTheme="minorHAnsi" w:cstheme="minorHAnsi"/>
          <w:color w:val="000000" w:themeColor="text1"/>
          <w:kern w:val="24"/>
          <w:sz w:val="22"/>
          <w:szCs w:val="22"/>
        </w:rPr>
        <w:t>will be addressed by the RPD and an action plan</w:t>
      </w:r>
      <w:r w:rsidR="000D267D">
        <w:rPr>
          <w:rFonts w:asciiTheme="minorHAnsi" w:eastAsiaTheme="minorEastAsia" w:hAnsiTheme="minorHAnsi" w:cstheme="minorHAnsi"/>
          <w:color w:val="000000" w:themeColor="text1"/>
          <w:kern w:val="24"/>
          <w:sz w:val="22"/>
          <w:szCs w:val="22"/>
        </w:rPr>
        <w:t xml:space="preserve"> </w:t>
      </w:r>
      <w:r w:rsidRPr="00567693">
        <w:rPr>
          <w:rFonts w:asciiTheme="minorHAnsi" w:eastAsiaTheme="minorEastAsia" w:hAnsiTheme="minorHAnsi" w:cstheme="minorHAnsi"/>
          <w:color w:val="000000" w:themeColor="text1"/>
          <w:kern w:val="24"/>
          <w:sz w:val="22"/>
          <w:szCs w:val="22"/>
        </w:rPr>
        <w:t>to prevent future instances will be developed</w:t>
      </w:r>
      <w:r>
        <w:rPr>
          <w:rFonts w:asciiTheme="minorHAnsi" w:eastAsiaTheme="minorEastAsia" w:hAnsiTheme="minorHAnsi" w:cstheme="minorHAnsi"/>
          <w:color w:val="000000" w:themeColor="text1"/>
          <w:kern w:val="24"/>
          <w:sz w:val="22"/>
          <w:szCs w:val="22"/>
        </w:rPr>
        <w:t>.</w:t>
      </w:r>
    </w:p>
    <w:p w14:paraId="10224662" w14:textId="77777777" w:rsidR="00C57290" w:rsidRDefault="00C57290" w:rsidP="0030678A">
      <w:pPr>
        <w:rPr>
          <w:b/>
        </w:rPr>
      </w:pPr>
    </w:p>
    <w:p w14:paraId="3AA73745" w14:textId="77777777" w:rsidR="00C57290" w:rsidRDefault="00C57290" w:rsidP="0030678A">
      <w:pPr>
        <w:rPr>
          <w:b/>
        </w:rPr>
      </w:pPr>
    </w:p>
    <w:tbl>
      <w:tblPr>
        <w:tblW w:w="1000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CellMar>
          <w:left w:w="0" w:type="dxa"/>
          <w:right w:w="0" w:type="dxa"/>
        </w:tblCellMar>
        <w:tblLook w:val="0420" w:firstRow="1" w:lastRow="0" w:firstColumn="0" w:lastColumn="0" w:noHBand="0" w:noVBand="1"/>
      </w:tblPr>
      <w:tblGrid>
        <w:gridCol w:w="10000"/>
      </w:tblGrid>
      <w:tr w:rsidR="0077262D" w:rsidRPr="00DC757E" w14:paraId="6A2A23A9" w14:textId="77777777" w:rsidTr="00EC6FCE">
        <w:trPr>
          <w:trHeight w:val="637"/>
          <w:jc w:val="center"/>
        </w:trPr>
        <w:tc>
          <w:tcPr>
            <w:tcW w:w="10000" w:type="dxa"/>
            <w:shd w:val="clear" w:color="auto" w:fill="EEECE1" w:themeFill="background2"/>
            <w:tcMar>
              <w:top w:w="72" w:type="dxa"/>
              <w:left w:w="144" w:type="dxa"/>
              <w:bottom w:w="72" w:type="dxa"/>
              <w:right w:w="144" w:type="dxa"/>
            </w:tcMar>
            <w:hideMark/>
          </w:tcPr>
          <w:p w14:paraId="1A37CFC3" w14:textId="77777777" w:rsidR="0077262D" w:rsidRPr="00DC757E" w:rsidRDefault="0077262D" w:rsidP="00EC6FCE">
            <w:pPr>
              <w:rPr>
                <w:rFonts w:asciiTheme="minorHAnsi" w:hAnsiTheme="minorHAnsi" w:cstheme="minorHAnsi"/>
                <w:sz w:val="22"/>
                <w:szCs w:val="22"/>
              </w:rPr>
            </w:pPr>
            <w:r w:rsidRPr="00DC757E">
              <w:rPr>
                <w:rFonts w:asciiTheme="minorHAnsi" w:hAnsiTheme="minorHAnsi" w:cstheme="minorHAnsi"/>
                <w:b/>
                <w:bCs/>
                <w:sz w:val="22"/>
                <w:szCs w:val="22"/>
              </w:rPr>
              <w:t>Criteria</w:t>
            </w:r>
          </w:p>
        </w:tc>
      </w:tr>
      <w:tr w:rsidR="0077262D" w:rsidRPr="00DC757E" w14:paraId="3868EE21" w14:textId="77777777" w:rsidTr="00EC6FCE">
        <w:trPr>
          <w:trHeight w:val="295"/>
          <w:jc w:val="center"/>
        </w:trPr>
        <w:tc>
          <w:tcPr>
            <w:tcW w:w="10000" w:type="dxa"/>
            <w:shd w:val="clear" w:color="auto" w:fill="FFFFFF" w:themeFill="background1"/>
            <w:tcMar>
              <w:top w:w="72" w:type="dxa"/>
              <w:left w:w="144" w:type="dxa"/>
              <w:bottom w:w="72" w:type="dxa"/>
              <w:right w:w="144" w:type="dxa"/>
            </w:tcMar>
            <w:hideMark/>
          </w:tcPr>
          <w:p w14:paraId="6DA6F098" w14:textId="77777777" w:rsidR="0077262D" w:rsidRPr="00DC757E" w:rsidRDefault="0077262D" w:rsidP="00EC6FCE">
            <w:pPr>
              <w:rPr>
                <w:rFonts w:asciiTheme="minorHAnsi" w:hAnsiTheme="minorHAnsi" w:cstheme="minorHAnsi"/>
                <w:sz w:val="22"/>
                <w:szCs w:val="22"/>
              </w:rPr>
            </w:pPr>
            <w:r w:rsidRPr="00DC757E">
              <w:rPr>
                <w:rFonts w:asciiTheme="minorHAnsi" w:hAnsiTheme="minorHAnsi" w:cstheme="minorHAnsi"/>
                <w:sz w:val="22"/>
                <w:szCs w:val="22"/>
              </w:rPr>
              <w:t xml:space="preserve">Includes web link for </w:t>
            </w:r>
            <w:r w:rsidRPr="00DC757E">
              <w:rPr>
                <w:rFonts w:asciiTheme="minorHAnsi" w:hAnsiTheme="minorHAnsi" w:cstheme="minorHAnsi"/>
                <w:i/>
                <w:iCs/>
                <w:sz w:val="22"/>
                <w:szCs w:val="22"/>
              </w:rPr>
              <w:t>ASHP Duty Hour Requirements for Pharmacy Residencies dated 3/2023</w:t>
            </w:r>
          </w:p>
        </w:tc>
      </w:tr>
      <w:tr w:rsidR="0077262D" w:rsidRPr="00DC757E" w14:paraId="6A652219" w14:textId="77777777" w:rsidTr="00EC6FCE">
        <w:trPr>
          <w:trHeight w:val="286"/>
          <w:jc w:val="center"/>
        </w:trPr>
        <w:tc>
          <w:tcPr>
            <w:tcW w:w="10000" w:type="dxa"/>
            <w:shd w:val="clear" w:color="auto" w:fill="FFFFFF" w:themeFill="background1"/>
            <w:tcMar>
              <w:top w:w="72" w:type="dxa"/>
              <w:left w:w="144" w:type="dxa"/>
              <w:bottom w:w="72" w:type="dxa"/>
              <w:right w:w="144" w:type="dxa"/>
            </w:tcMar>
            <w:hideMark/>
          </w:tcPr>
          <w:p w14:paraId="2C844C05" w14:textId="77777777" w:rsidR="0077262D" w:rsidRPr="00DC757E" w:rsidRDefault="0077262D" w:rsidP="00EC6FCE">
            <w:pPr>
              <w:rPr>
                <w:rFonts w:asciiTheme="minorHAnsi" w:hAnsiTheme="minorHAnsi" w:cstheme="minorHAnsi"/>
                <w:sz w:val="22"/>
                <w:szCs w:val="22"/>
              </w:rPr>
            </w:pPr>
            <w:r w:rsidRPr="00DC757E">
              <w:rPr>
                <w:rFonts w:asciiTheme="minorHAnsi" w:hAnsiTheme="minorHAnsi" w:cstheme="minorHAnsi"/>
                <w:sz w:val="22"/>
                <w:szCs w:val="22"/>
              </w:rPr>
              <w:t>Documentation of compliance with duty hours on a monthly basis</w:t>
            </w:r>
            <w:r>
              <w:rPr>
                <w:rFonts w:asciiTheme="minorHAnsi" w:hAnsiTheme="minorHAnsi" w:cstheme="minorHAnsi"/>
                <w:sz w:val="22"/>
                <w:szCs w:val="22"/>
              </w:rPr>
              <w:t>.</w:t>
            </w:r>
          </w:p>
        </w:tc>
      </w:tr>
      <w:tr w:rsidR="0077262D" w:rsidRPr="00DC757E" w14:paraId="7A76C050" w14:textId="77777777" w:rsidTr="00EC6FCE">
        <w:trPr>
          <w:trHeight w:val="584"/>
          <w:jc w:val="center"/>
        </w:trPr>
        <w:tc>
          <w:tcPr>
            <w:tcW w:w="10000" w:type="dxa"/>
            <w:shd w:val="clear" w:color="auto" w:fill="FFFFFF" w:themeFill="background1"/>
            <w:tcMar>
              <w:top w:w="72" w:type="dxa"/>
              <w:left w:w="144" w:type="dxa"/>
              <w:bottom w:w="72" w:type="dxa"/>
              <w:right w:w="144" w:type="dxa"/>
            </w:tcMar>
            <w:hideMark/>
          </w:tcPr>
          <w:p w14:paraId="44DA0175" w14:textId="77777777" w:rsidR="0077262D" w:rsidRPr="00DC757E" w:rsidRDefault="0077262D" w:rsidP="00EC6FCE">
            <w:pPr>
              <w:rPr>
                <w:rFonts w:asciiTheme="minorHAnsi" w:hAnsiTheme="minorHAnsi" w:cstheme="minorHAnsi"/>
                <w:sz w:val="22"/>
                <w:szCs w:val="22"/>
              </w:rPr>
            </w:pPr>
            <w:r w:rsidRPr="00DC757E">
              <w:rPr>
                <w:rFonts w:asciiTheme="minorHAnsi" w:hAnsiTheme="minorHAnsi" w:cstheme="minorHAnsi"/>
                <w:sz w:val="22"/>
                <w:szCs w:val="22"/>
              </w:rPr>
              <w:t>Documenting compliance with all duty hour requirements including hours worked, hours free of work, moonlighting, and frequency of all on-call programs.</w:t>
            </w:r>
          </w:p>
        </w:tc>
      </w:tr>
      <w:tr w:rsidR="0077262D" w:rsidRPr="00DC757E" w14:paraId="3C90219F" w14:textId="77777777" w:rsidTr="00EC6FCE">
        <w:trPr>
          <w:trHeight w:val="584"/>
          <w:jc w:val="center"/>
        </w:trPr>
        <w:tc>
          <w:tcPr>
            <w:tcW w:w="10000" w:type="dxa"/>
            <w:shd w:val="clear" w:color="auto" w:fill="FFFFFF" w:themeFill="background1"/>
            <w:tcMar>
              <w:top w:w="72" w:type="dxa"/>
              <w:left w:w="144" w:type="dxa"/>
              <w:bottom w:w="72" w:type="dxa"/>
              <w:right w:w="144" w:type="dxa"/>
            </w:tcMar>
            <w:hideMark/>
          </w:tcPr>
          <w:p w14:paraId="38BCC2F6" w14:textId="77777777" w:rsidR="0077262D" w:rsidRPr="00DC757E" w:rsidRDefault="0077262D" w:rsidP="00EC6FCE">
            <w:pPr>
              <w:rPr>
                <w:rFonts w:asciiTheme="minorHAnsi" w:hAnsiTheme="minorHAnsi" w:cstheme="minorHAnsi"/>
                <w:sz w:val="22"/>
                <w:szCs w:val="22"/>
              </w:rPr>
            </w:pPr>
            <w:r w:rsidRPr="00DC757E">
              <w:rPr>
                <w:rFonts w:asciiTheme="minorHAnsi" w:hAnsiTheme="minorHAnsi" w:cstheme="minorHAnsi"/>
                <w:sz w:val="22"/>
                <w:szCs w:val="22"/>
              </w:rPr>
              <w:t>Process for assessing instances of non-compliance and actions to be taken to avoid future instances of non-compliance</w:t>
            </w:r>
          </w:p>
        </w:tc>
      </w:tr>
      <w:tr w:rsidR="0077262D" w:rsidRPr="00DC757E" w14:paraId="7DB4473A" w14:textId="77777777" w:rsidTr="00EC6FCE">
        <w:trPr>
          <w:trHeight w:val="322"/>
          <w:jc w:val="center"/>
        </w:trPr>
        <w:tc>
          <w:tcPr>
            <w:tcW w:w="10000" w:type="dxa"/>
            <w:shd w:val="clear" w:color="auto" w:fill="FFFFFF" w:themeFill="background1"/>
            <w:tcMar>
              <w:top w:w="72" w:type="dxa"/>
              <w:left w:w="144" w:type="dxa"/>
              <w:bottom w:w="72" w:type="dxa"/>
              <w:right w:w="144" w:type="dxa"/>
            </w:tcMar>
            <w:hideMark/>
          </w:tcPr>
          <w:p w14:paraId="0066AAD4" w14:textId="77777777" w:rsidR="0077262D" w:rsidRPr="00DC757E" w:rsidRDefault="0077262D" w:rsidP="00EC6FCE">
            <w:pPr>
              <w:rPr>
                <w:rFonts w:asciiTheme="minorHAnsi" w:hAnsiTheme="minorHAnsi" w:cstheme="minorHAnsi"/>
                <w:sz w:val="22"/>
                <w:szCs w:val="22"/>
              </w:rPr>
            </w:pPr>
            <w:r w:rsidRPr="00DC757E">
              <w:rPr>
                <w:rFonts w:asciiTheme="minorHAnsi" w:hAnsiTheme="minorHAnsi" w:cstheme="minorHAnsi"/>
                <w:sz w:val="22"/>
                <w:szCs w:val="22"/>
              </w:rPr>
              <w:t>Documentation of moonlighting policy includes structured process:</w:t>
            </w:r>
          </w:p>
        </w:tc>
      </w:tr>
      <w:tr w:rsidR="0077262D" w:rsidRPr="00DC757E" w14:paraId="6C49DF9A" w14:textId="77777777" w:rsidTr="00EC6FCE">
        <w:trPr>
          <w:trHeight w:val="277"/>
          <w:jc w:val="center"/>
        </w:trPr>
        <w:tc>
          <w:tcPr>
            <w:tcW w:w="10000" w:type="dxa"/>
            <w:shd w:val="clear" w:color="auto" w:fill="FFFFFF" w:themeFill="background1"/>
            <w:tcMar>
              <w:top w:w="72" w:type="dxa"/>
              <w:left w:w="144" w:type="dxa"/>
              <w:bottom w:w="72" w:type="dxa"/>
              <w:right w:w="144" w:type="dxa"/>
            </w:tcMar>
            <w:hideMark/>
          </w:tcPr>
          <w:p w14:paraId="081D6F77" w14:textId="77777777" w:rsidR="0077262D" w:rsidRPr="00DC757E" w:rsidRDefault="0077262D" w:rsidP="00EC6FCE">
            <w:pPr>
              <w:numPr>
                <w:ilvl w:val="0"/>
                <w:numId w:val="12"/>
              </w:numPr>
              <w:rPr>
                <w:rFonts w:asciiTheme="minorHAnsi" w:hAnsiTheme="minorHAnsi" w:cstheme="minorHAnsi"/>
                <w:sz w:val="22"/>
                <w:szCs w:val="22"/>
              </w:rPr>
            </w:pPr>
            <w:r w:rsidRPr="00DC757E">
              <w:rPr>
                <w:rFonts w:asciiTheme="minorHAnsi" w:hAnsiTheme="minorHAnsi" w:cstheme="minorHAnsi"/>
                <w:sz w:val="22"/>
                <w:szCs w:val="22"/>
              </w:rPr>
              <w:t>Type (internal, external, both) and max hours per week/pay period/month</w:t>
            </w:r>
          </w:p>
        </w:tc>
      </w:tr>
      <w:tr w:rsidR="0077262D" w:rsidRPr="00DC757E" w14:paraId="3E5F3174" w14:textId="77777777" w:rsidTr="00EC6FCE">
        <w:trPr>
          <w:trHeight w:val="295"/>
          <w:jc w:val="center"/>
        </w:trPr>
        <w:tc>
          <w:tcPr>
            <w:tcW w:w="10000" w:type="dxa"/>
            <w:shd w:val="clear" w:color="auto" w:fill="FFFFFF" w:themeFill="background1"/>
            <w:tcMar>
              <w:top w:w="72" w:type="dxa"/>
              <w:left w:w="144" w:type="dxa"/>
              <w:bottom w:w="72" w:type="dxa"/>
              <w:right w:w="144" w:type="dxa"/>
            </w:tcMar>
            <w:hideMark/>
          </w:tcPr>
          <w:p w14:paraId="6913F9B3" w14:textId="77777777" w:rsidR="0077262D" w:rsidRPr="00DC757E" w:rsidRDefault="0077262D" w:rsidP="00EC6FCE">
            <w:pPr>
              <w:numPr>
                <w:ilvl w:val="0"/>
                <w:numId w:val="12"/>
              </w:numPr>
              <w:rPr>
                <w:rFonts w:asciiTheme="minorHAnsi" w:hAnsiTheme="minorHAnsi" w:cstheme="minorHAnsi"/>
                <w:sz w:val="22"/>
                <w:szCs w:val="22"/>
              </w:rPr>
            </w:pPr>
            <w:r w:rsidRPr="00DC757E">
              <w:rPr>
                <w:rFonts w:asciiTheme="minorHAnsi" w:hAnsiTheme="minorHAnsi" w:cstheme="minorHAnsi"/>
                <w:sz w:val="22"/>
                <w:szCs w:val="22"/>
              </w:rPr>
              <w:t>Requirement for resident to receive approval and to inform completion of hours</w:t>
            </w:r>
          </w:p>
        </w:tc>
      </w:tr>
      <w:tr w:rsidR="0077262D" w:rsidRPr="00DC757E" w14:paraId="3E5F1370" w14:textId="77777777" w:rsidTr="00EC6FCE">
        <w:trPr>
          <w:trHeight w:val="277"/>
          <w:jc w:val="center"/>
        </w:trPr>
        <w:tc>
          <w:tcPr>
            <w:tcW w:w="10000" w:type="dxa"/>
            <w:shd w:val="clear" w:color="auto" w:fill="FFFFFF" w:themeFill="background1"/>
            <w:tcMar>
              <w:top w:w="72" w:type="dxa"/>
              <w:left w:w="144" w:type="dxa"/>
              <w:bottom w:w="72" w:type="dxa"/>
              <w:right w:w="144" w:type="dxa"/>
            </w:tcMar>
            <w:hideMark/>
          </w:tcPr>
          <w:p w14:paraId="64F8F86B" w14:textId="77777777" w:rsidR="0077262D" w:rsidRPr="00DC757E" w:rsidRDefault="0077262D" w:rsidP="00EC6FCE">
            <w:pPr>
              <w:numPr>
                <w:ilvl w:val="0"/>
                <w:numId w:val="12"/>
              </w:numPr>
              <w:rPr>
                <w:rFonts w:asciiTheme="minorHAnsi" w:hAnsiTheme="minorHAnsi" w:cstheme="minorHAnsi"/>
                <w:sz w:val="22"/>
                <w:szCs w:val="22"/>
              </w:rPr>
            </w:pPr>
            <w:r w:rsidRPr="00DC757E">
              <w:rPr>
                <w:rFonts w:asciiTheme="minorHAnsi" w:hAnsiTheme="minorHAnsi" w:cstheme="minorHAnsi"/>
                <w:sz w:val="22"/>
                <w:szCs w:val="22"/>
              </w:rPr>
              <w:t>Plan for how to proceed if moonlighting affects performance during scheduled duty hours</w:t>
            </w:r>
          </w:p>
        </w:tc>
      </w:tr>
      <w:tr w:rsidR="0077262D" w:rsidRPr="00DC757E" w14:paraId="300E43B1" w14:textId="77777777" w:rsidTr="00EC6FCE">
        <w:trPr>
          <w:trHeight w:val="295"/>
          <w:jc w:val="center"/>
        </w:trPr>
        <w:tc>
          <w:tcPr>
            <w:tcW w:w="10000" w:type="dxa"/>
            <w:shd w:val="clear" w:color="auto" w:fill="FFFFFF" w:themeFill="background1"/>
            <w:tcMar>
              <w:top w:w="72" w:type="dxa"/>
              <w:left w:w="144" w:type="dxa"/>
              <w:bottom w:w="72" w:type="dxa"/>
              <w:right w:w="144" w:type="dxa"/>
            </w:tcMar>
            <w:hideMark/>
          </w:tcPr>
          <w:p w14:paraId="60797F1C" w14:textId="77777777" w:rsidR="0077262D" w:rsidRPr="00DC757E" w:rsidRDefault="0077262D" w:rsidP="00EC6FCE">
            <w:pPr>
              <w:rPr>
                <w:rFonts w:asciiTheme="minorHAnsi" w:hAnsiTheme="minorHAnsi" w:cstheme="minorHAnsi"/>
                <w:sz w:val="22"/>
                <w:szCs w:val="22"/>
              </w:rPr>
            </w:pPr>
            <w:r w:rsidRPr="00DC757E">
              <w:rPr>
                <w:rFonts w:asciiTheme="minorHAnsi" w:hAnsiTheme="minorHAnsi" w:cstheme="minorHAnsi"/>
                <w:sz w:val="22"/>
                <w:szCs w:val="22"/>
              </w:rPr>
              <w:t>Documentation of type and requirements of on-call programs</w:t>
            </w:r>
          </w:p>
        </w:tc>
      </w:tr>
      <w:tr w:rsidR="0077262D" w:rsidRPr="00DC757E" w14:paraId="0FD3D70E" w14:textId="77777777" w:rsidTr="00EC6FCE">
        <w:trPr>
          <w:trHeight w:val="277"/>
          <w:jc w:val="center"/>
        </w:trPr>
        <w:tc>
          <w:tcPr>
            <w:tcW w:w="10000" w:type="dxa"/>
            <w:shd w:val="clear" w:color="auto" w:fill="FFFFFF" w:themeFill="background1"/>
            <w:tcMar>
              <w:top w:w="72" w:type="dxa"/>
              <w:left w:w="144" w:type="dxa"/>
              <w:bottom w:w="72" w:type="dxa"/>
              <w:right w:w="144" w:type="dxa"/>
            </w:tcMar>
            <w:hideMark/>
          </w:tcPr>
          <w:p w14:paraId="2E47B412" w14:textId="77777777" w:rsidR="0077262D" w:rsidRPr="00DC757E" w:rsidRDefault="0077262D" w:rsidP="00EC6FCE">
            <w:pPr>
              <w:rPr>
                <w:rFonts w:asciiTheme="minorHAnsi" w:hAnsiTheme="minorHAnsi" w:cstheme="minorHAnsi"/>
                <w:sz w:val="22"/>
                <w:szCs w:val="22"/>
              </w:rPr>
            </w:pPr>
            <w:r w:rsidRPr="00DC757E">
              <w:rPr>
                <w:rFonts w:asciiTheme="minorHAnsi" w:hAnsiTheme="minorHAnsi" w:cstheme="minorHAnsi"/>
                <w:sz w:val="22"/>
                <w:szCs w:val="22"/>
              </w:rPr>
              <w:t>Policy clearly written with little left to interpretation.</w:t>
            </w:r>
          </w:p>
        </w:tc>
      </w:tr>
      <w:tr w:rsidR="0077262D" w:rsidRPr="00DC757E" w14:paraId="601B16FD" w14:textId="77777777" w:rsidTr="00EC6FCE">
        <w:trPr>
          <w:trHeight w:val="295"/>
          <w:jc w:val="center"/>
        </w:trPr>
        <w:tc>
          <w:tcPr>
            <w:tcW w:w="10000" w:type="dxa"/>
            <w:shd w:val="clear" w:color="auto" w:fill="FFFFFF" w:themeFill="background1"/>
            <w:tcMar>
              <w:top w:w="72" w:type="dxa"/>
              <w:left w:w="144" w:type="dxa"/>
              <w:bottom w:w="72" w:type="dxa"/>
              <w:right w:w="144" w:type="dxa"/>
            </w:tcMar>
            <w:hideMark/>
          </w:tcPr>
          <w:p w14:paraId="4CEDF69F" w14:textId="77777777" w:rsidR="0077262D" w:rsidRPr="00DC757E" w:rsidRDefault="0077262D" w:rsidP="00EC6FCE">
            <w:pPr>
              <w:rPr>
                <w:rFonts w:asciiTheme="minorHAnsi" w:hAnsiTheme="minorHAnsi" w:cstheme="minorHAnsi"/>
                <w:sz w:val="22"/>
                <w:szCs w:val="22"/>
              </w:rPr>
            </w:pPr>
            <w:r w:rsidRPr="00DC757E">
              <w:rPr>
                <w:rFonts w:asciiTheme="minorHAnsi" w:hAnsiTheme="minorHAnsi" w:cstheme="minorHAnsi"/>
                <w:sz w:val="22"/>
                <w:szCs w:val="22"/>
              </w:rPr>
              <w:t>Ensures uniform application of the policy.</w:t>
            </w:r>
          </w:p>
        </w:tc>
      </w:tr>
    </w:tbl>
    <w:p w14:paraId="6CE09D9E" w14:textId="528CAAFC" w:rsidR="00C57290" w:rsidRDefault="00C57290" w:rsidP="0030678A">
      <w:pPr>
        <w:rPr>
          <w:b/>
        </w:rPr>
      </w:pPr>
    </w:p>
    <w:sectPr w:rsidR="00C57290" w:rsidSect="00C57290">
      <w:headerReference w:type="even" r:id="rId14"/>
      <w:headerReference w:type="default" r:id="rId15"/>
      <w:footerReference w:type="even" r:id="rId16"/>
      <w:footerReference w:type="default" r:id="rId17"/>
      <w:headerReference w:type="first" r:id="rId18"/>
      <w:footerReference w:type="first" r:id="rId19"/>
      <w:pgSz w:w="12240" w:h="15840"/>
      <w:pgMar w:top="144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54852" w14:textId="77777777" w:rsidR="005F2C39" w:rsidRDefault="005F2C39" w:rsidP="005F2C39">
      <w:r>
        <w:separator/>
      </w:r>
    </w:p>
  </w:endnote>
  <w:endnote w:type="continuationSeparator" w:id="0">
    <w:p w14:paraId="1BD539B1" w14:textId="77777777" w:rsidR="005F2C39" w:rsidRDefault="005F2C39" w:rsidP="005F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DE0C9" w14:textId="77777777" w:rsidR="005F2C39" w:rsidRDefault="005F2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9EED" w14:textId="46AF5D2E" w:rsidR="005F2C39" w:rsidRPr="005F2C39" w:rsidRDefault="005F2C39">
    <w:pPr>
      <w:pStyle w:val="Footer"/>
      <w:rPr>
        <w:rFonts w:asciiTheme="minorHAnsi" w:hAnsiTheme="minorHAnsi" w:cstheme="minorHAnsi"/>
        <w:sz w:val="16"/>
        <w:szCs w:val="16"/>
      </w:rPr>
    </w:pPr>
    <w:r w:rsidRPr="005F2C39">
      <w:rPr>
        <w:rFonts w:asciiTheme="minorHAnsi" w:hAnsiTheme="minorHAnsi" w:cstheme="minorHAnsi"/>
        <w:sz w:val="16"/>
        <w:szCs w:val="16"/>
      </w:rPr>
      <w:t>10-7-2024 version</w:t>
    </w:r>
  </w:p>
  <w:p w14:paraId="0A5F4A47" w14:textId="77777777" w:rsidR="005F2C39" w:rsidRDefault="005F2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9E742" w14:textId="77777777" w:rsidR="005F2C39" w:rsidRDefault="005F2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557B4" w14:textId="77777777" w:rsidR="005F2C39" w:rsidRDefault="005F2C39" w:rsidP="005F2C39">
      <w:r>
        <w:separator/>
      </w:r>
    </w:p>
  </w:footnote>
  <w:footnote w:type="continuationSeparator" w:id="0">
    <w:p w14:paraId="66DBA819" w14:textId="77777777" w:rsidR="005F2C39" w:rsidRDefault="005F2C39" w:rsidP="005F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0FAEE" w14:textId="77777777" w:rsidR="005F2C39" w:rsidRDefault="005F2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8E27" w14:textId="77777777" w:rsidR="005F2C39" w:rsidRDefault="005F2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FC5F2" w14:textId="77777777" w:rsidR="005F2C39" w:rsidRDefault="005F2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E4649"/>
    <w:multiLevelType w:val="hybridMultilevel"/>
    <w:tmpl w:val="95962726"/>
    <w:lvl w:ilvl="0" w:tplc="B93CC0B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943968"/>
    <w:multiLevelType w:val="hybridMultilevel"/>
    <w:tmpl w:val="CF382D7C"/>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72B22"/>
    <w:multiLevelType w:val="hybridMultilevel"/>
    <w:tmpl w:val="F1362CE4"/>
    <w:lvl w:ilvl="0" w:tplc="8598B26C">
      <w:start w:val="1"/>
      <w:numFmt w:val="bullet"/>
      <w:lvlText w:val="•"/>
      <w:lvlJc w:val="left"/>
      <w:pPr>
        <w:tabs>
          <w:tab w:val="num" w:pos="720"/>
        </w:tabs>
        <w:ind w:left="720" w:hanging="360"/>
      </w:pPr>
      <w:rPr>
        <w:rFonts w:ascii="Arial" w:hAnsi="Arial" w:hint="default"/>
      </w:rPr>
    </w:lvl>
    <w:lvl w:ilvl="1" w:tplc="604CB25E" w:tentative="1">
      <w:start w:val="1"/>
      <w:numFmt w:val="bullet"/>
      <w:lvlText w:val="•"/>
      <w:lvlJc w:val="left"/>
      <w:pPr>
        <w:tabs>
          <w:tab w:val="num" w:pos="1440"/>
        </w:tabs>
        <w:ind w:left="1440" w:hanging="360"/>
      </w:pPr>
      <w:rPr>
        <w:rFonts w:ascii="Arial" w:hAnsi="Arial" w:hint="default"/>
      </w:rPr>
    </w:lvl>
    <w:lvl w:ilvl="2" w:tplc="4A8C46A0" w:tentative="1">
      <w:start w:val="1"/>
      <w:numFmt w:val="bullet"/>
      <w:lvlText w:val="•"/>
      <w:lvlJc w:val="left"/>
      <w:pPr>
        <w:tabs>
          <w:tab w:val="num" w:pos="2160"/>
        </w:tabs>
        <w:ind w:left="2160" w:hanging="360"/>
      </w:pPr>
      <w:rPr>
        <w:rFonts w:ascii="Arial" w:hAnsi="Arial" w:hint="default"/>
      </w:rPr>
    </w:lvl>
    <w:lvl w:ilvl="3" w:tplc="E7F42A5C" w:tentative="1">
      <w:start w:val="1"/>
      <w:numFmt w:val="bullet"/>
      <w:lvlText w:val="•"/>
      <w:lvlJc w:val="left"/>
      <w:pPr>
        <w:tabs>
          <w:tab w:val="num" w:pos="2880"/>
        </w:tabs>
        <w:ind w:left="2880" w:hanging="360"/>
      </w:pPr>
      <w:rPr>
        <w:rFonts w:ascii="Arial" w:hAnsi="Arial" w:hint="default"/>
      </w:rPr>
    </w:lvl>
    <w:lvl w:ilvl="4" w:tplc="62A491CC" w:tentative="1">
      <w:start w:val="1"/>
      <w:numFmt w:val="bullet"/>
      <w:lvlText w:val="•"/>
      <w:lvlJc w:val="left"/>
      <w:pPr>
        <w:tabs>
          <w:tab w:val="num" w:pos="3600"/>
        </w:tabs>
        <w:ind w:left="3600" w:hanging="360"/>
      </w:pPr>
      <w:rPr>
        <w:rFonts w:ascii="Arial" w:hAnsi="Arial" w:hint="default"/>
      </w:rPr>
    </w:lvl>
    <w:lvl w:ilvl="5" w:tplc="A1CCA012" w:tentative="1">
      <w:start w:val="1"/>
      <w:numFmt w:val="bullet"/>
      <w:lvlText w:val="•"/>
      <w:lvlJc w:val="left"/>
      <w:pPr>
        <w:tabs>
          <w:tab w:val="num" w:pos="4320"/>
        </w:tabs>
        <w:ind w:left="4320" w:hanging="360"/>
      </w:pPr>
      <w:rPr>
        <w:rFonts w:ascii="Arial" w:hAnsi="Arial" w:hint="default"/>
      </w:rPr>
    </w:lvl>
    <w:lvl w:ilvl="6" w:tplc="8096A0E8" w:tentative="1">
      <w:start w:val="1"/>
      <w:numFmt w:val="bullet"/>
      <w:lvlText w:val="•"/>
      <w:lvlJc w:val="left"/>
      <w:pPr>
        <w:tabs>
          <w:tab w:val="num" w:pos="5040"/>
        </w:tabs>
        <w:ind w:left="5040" w:hanging="360"/>
      </w:pPr>
      <w:rPr>
        <w:rFonts w:ascii="Arial" w:hAnsi="Arial" w:hint="default"/>
      </w:rPr>
    </w:lvl>
    <w:lvl w:ilvl="7" w:tplc="5DE8018A" w:tentative="1">
      <w:start w:val="1"/>
      <w:numFmt w:val="bullet"/>
      <w:lvlText w:val="•"/>
      <w:lvlJc w:val="left"/>
      <w:pPr>
        <w:tabs>
          <w:tab w:val="num" w:pos="5760"/>
        </w:tabs>
        <w:ind w:left="5760" w:hanging="360"/>
      </w:pPr>
      <w:rPr>
        <w:rFonts w:ascii="Arial" w:hAnsi="Arial" w:hint="default"/>
      </w:rPr>
    </w:lvl>
    <w:lvl w:ilvl="8" w:tplc="4F9695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307308"/>
    <w:multiLevelType w:val="hybridMultilevel"/>
    <w:tmpl w:val="7FE28D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747D8"/>
    <w:multiLevelType w:val="hybridMultilevel"/>
    <w:tmpl w:val="B212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82EB7"/>
    <w:multiLevelType w:val="hybridMultilevel"/>
    <w:tmpl w:val="D970549C"/>
    <w:lvl w:ilvl="0" w:tplc="26FACA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9B3B0B"/>
    <w:multiLevelType w:val="multilevel"/>
    <w:tmpl w:val="95D21E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01E0455"/>
    <w:multiLevelType w:val="hybridMultilevel"/>
    <w:tmpl w:val="EE38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5D4873"/>
    <w:multiLevelType w:val="hybridMultilevel"/>
    <w:tmpl w:val="31F0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E4F73"/>
    <w:multiLevelType w:val="hybridMultilevel"/>
    <w:tmpl w:val="7EB67E9A"/>
    <w:lvl w:ilvl="0" w:tplc="4E9E8540">
      <w:start w:val="1"/>
      <w:numFmt w:val="bullet"/>
      <w:lvlText w:val=""/>
      <w:lvlJc w:val="left"/>
      <w:pPr>
        <w:tabs>
          <w:tab w:val="num" w:pos="-360"/>
        </w:tabs>
        <w:ind w:left="-360" w:hanging="360"/>
      </w:pPr>
      <w:rPr>
        <w:rFonts w:ascii="Wingdings" w:hAnsi="Wingdings" w:hint="default"/>
      </w:rPr>
    </w:lvl>
    <w:lvl w:ilvl="1" w:tplc="6DEC9244" w:tentative="1">
      <w:start w:val="1"/>
      <w:numFmt w:val="bullet"/>
      <w:lvlText w:val=""/>
      <w:lvlJc w:val="left"/>
      <w:pPr>
        <w:tabs>
          <w:tab w:val="num" w:pos="360"/>
        </w:tabs>
        <w:ind w:left="360" w:hanging="360"/>
      </w:pPr>
      <w:rPr>
        <w:rFonts w:ascii="Wingdings" w:hAnsi="Wingdings" w:hint="default"/>
      </w:rPr>
    </w:lvl>
    <w:lvl w:ilvl="2" w:tplc="DF901BFA" w:tentative="1">
      <w:start w:val="1"/>
      <w:numFmt w:val="bullet"/>
      <w:lvlText w:val=""/>
      <w:lvlJc w:val="left"/>
      <w:pPr>
        <w:tabs>
          <w:tab w:val="num" w:pos="1080"/>
        </w:tabs>
        <w:ind w:left="1080" w:hanging="360"/>
      </w:pPr>
      <w:rPr>
        <w:rFonts w:ascii="Wingdings" w:hAnsi="Wingdings" w:hint="default"/>
      </w:rPr>
    </w:lvl>
    <w:lvl w:ilvl="3" w:tplc="A4F4C0DC" w:tentative="1">
      <w:start w:val="1"/>
      <w:numFmt w:val="bullet"/>
      <w:lvlText w:val=""/>
      <w:lvlJc w:val="left"/>
      <w:pPr>
        <w:tabs>
          <w:tab w:val="num" w:pos="1800"/>
        </w:tabs>
        <w:ind w:left="1800" w:hanging="360"/>
      </w:pPr>
      <w:rPr>
        <w:rFonts w:ascii="Wingdings" w:hAnsi="Wingdings" w:hint="default"/>
      </w:rPr>
    </w:lvl>
    <w:lvl w:ilvl="4" w:tplc="4558A066" w:tentative="1">
      <w:start w:val="1"/>
      <w:numFmt w:val="bullet"/>
      <w:lvlText w:val=""/>
      <w:lvlJc w:val="left"/>
      <w:pPr>
        <w:tabs>
          <w:tab w:val="num" w:pos="2520"/>
        </w:tabs>
        <w:ind w:left="2520" w:hanging="360"/>
      </w:pPr>
      <w:rPr>
        <w:rFonts w:ascii="Wingdings" w:hAnsi="Wingdings" w:hint="default"/>
      </w:rPr>
    </w:lvl>
    <w:lvl w:ilvl="5" w:tplc="D76CC9BC" w:tentative="1">
      <w:start w:val="1"/>
      <w:numFmt w:val="bullet"/>
      <w:lvlText w:val=""/>
      <w:lvlJc w:val="left"/>
      <w:pPr>
        <w:tabs>
          <w:tab w:val="num" w:pos="3240"/>
        </w:tabs>
        <w:ind w:left="3240" w:hanging="360"/>
      </w:pPr>
      <w:rPr>
        <w:rFonts w:ascii="Wingdings" w:hAnsi="Wingdings" w:hint="default"/>
      </w:rPr>
    </w:lvl>
    <w:lvl w:ilvl="6" w:tplc="E1A28798" w:tentative="1">
      <w:start w:val="1"/>
      <w:numFmt w:val="bullet"/>
      <w:lvlText w:val=""/>
      <w:lvlJc w:val="left"/>
      <w:pPr>
        <w:tabs>
          <w:tab w:val="num" w:pos="3960"/>
        </w:tabs>
        <w:ind w:left="3960" w:hanging="360"/>
      </w:pPr>
      <w:rPr>
        <w:rFonts w:ascii="Wingdings" w:hAnsi="Wingdings" w:hint="default"/>
      </w:rPr>
    </w:lvl>
    <w:lvl w:ilvl="7" w:tplc="50B472CA" w:tentative="1">
      <w:start w:val="1"/>
      <w:numFmt w:val="bullet"/>
      <w:lvlText w:val=""/>
      <w:lvlJc w:val="left"/>
      <w:pPr>
        <w:tabs>
          <w:tab w:val="num" w:pos="4680"/>
        </w:tabs>
        <w:ind w:left="4680" w:hanging="360"/>
      </w:pPr>
      <w:rPr>
        <w:rFonts w:ascii="Wingdings" w:hAnsi="Wingdings" w:hint="default"/>
      </w:rPr>
    </w:lvl>
    <w:lvl w:ilvl="8" w:tplc="1474194E"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0450F83"/>
    <w:multiLevelType w:val="hybridMultilevel"/>
    <w:tmpl w:val="A260E5D4"/>
    <w:lvl w:ilvl="0" w:tplc="04090015">
      <w:start w:val="1"/>
      <w:numFmt w:val="upperLetter"/>
      <w:lvlText w:val="%1."/>
      <w:lvlJc w:val="left"/>
      <w:pPr>
        <w:ind w:left="630" w:hanging="360"/>
      </w:pPr>
      <w:rPr>
        <w:rFonts w:hint="default"/>
      </w:rPr>
    </w:lvl>
    <w:lvl w:ilvl="1" w:tplc="26FACA68">
      <w:start w:val="1"/>
      <w:numFmt w:val="lowerLetter"/>
      <w:lvlText w:val="%2."/>
      <w:lvlJc w:val="left"/>
      <w:pPr>
        <w:ind w:left="1350" w:hanging="360"/>
      </w:pPr>
      <w:rPr>
        <w:rFonts w:hint="default"/>
      </w:rPr>
    </w:lvl>
    <w:lvl w:ilvl="2" w:tplc="04090001">
      <w:start w:val="1"/>
      <w:numFmt w:val="bullet"/>
      <w:lvlText w:val=""/>
      <w:lvlJc w:val="left"/>
      <w:pPr>
        <w:ind w:left="2250" w:hanging="360"/>
      </w:pPr>
      <w:rPr>
        <w:rFonts w:ascii="Symbol" w:hAnsi="Symbol" w:hint="default"/>
      </w:r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6D30131"/>
    <w:multiLevelType w:val="hybridMultilevel"/>
    <w:tmpl w:val="4C1C44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7F3625"/>
    <w:multiLevelType w:val="hybridMultilevel"/>
    <w:tmpl w:val="FCD2CAAA"/>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E6F6C"/>
    <w:multiLevelType w:val="hybridMultilevel"/>
    <w:tmpl w:val="B378AC64"/>
    <w:lvl w:ilvl="0" w:tplc="988A6598">
      <w:start w:val="2"/>
      <w:numFmt w:val="lowerLetter"/>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699961643">
    <w:abstractNumId w:val="10"/>
  </w:num>
  <w:num w:numId="2" w16cid:durableId="1581137712">
    <w:abstractNumId w:val="4"/>
  </w:num>
  <w:num w:numId="3" w16cid:durableId="579291429">
    <w:abstractNumId w:val="7"/>
  </w:num>
  <w:num w:numId="4" w16cid:durableId="539049158">
    <w:abstractNumId w:val="11"/>
  </w:num>
  <w:num w:numId="5" w16cid:durableId="1310328095">
    <w:abstractNumId w:val="12"/>
  </w:num>
  <w:num w:numId="6" w16cid:durableId="1933931174">
    <w:abstractNumId w:val="3"/>
  </w:num>
  <w:num w:numId="7" w16cid:durableId="2111387049">
    <w:abstractNumId w:val="1"/>
  </w:num>
  <w:num w:numId="8" w16cid:durableId="402800768">
    <w:abstractNumId w:val="0"/>
  </w:num>
  <w:num w:numId="9" w16cid:durableId="1934163984">
    <w:abstractNumId w:val="6"/>
  </w:num>
  <w:num w:numId="10" w16cid:durableId="1333491078">
    <w:abstractNumId w:val="5"/>
  </w:num>
  <w:num w:numId="11" w16cid:durableId="1713731096">
    <w:abstractNumId w:val="13"/>
  </w:num>
  <w:num w:numId="12" w16cid:durableId="771123218">
    <w:abstractNumId w:val="2"/>
  </w:num>
  <w:num w:numId="13" w16cid:durableId="683674590">
    <w:abstractNumId w:val="9"/>
  </w:num>
  <w:num w:numId="14" w16cid:durableId="1724593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78A"/>
    <w:rsid w:val="0001030D"/>
    <w:rsid w:val="00014041"/>
    <w:rsid w:val="00025D25"/>
    <w:rsid w:val="00042786"/>
    <w:rsid w:val="00074E51"/>
    <w:rsid w:val="000A2023"/>
    <w:rsid w:val="000A706D"/>
    <w:rsid w:val="000B4396"/>
    <w:rsid w:val="000B4ABA"/>
    <w:rsid w:val="000B7489"/>
    <w:rsid w:val="000C2539"/>
    <w:rsid w:val="000C76C6"/>
    <w:rsid w:val="000D267D"/>
    <w:rsid w:val="000D3457"/>
    <w:rsid w:val="00104E6C"/>
    <w:rsid w:val="001068AD"/>
    <w:rsid w:val="0011124F"/>
    <w:rsid w:val="00124706"/>
    <w:rsid w:val="00126442"/>
    <w:rsid w:val="00160ECB"/>
    <w:rsid w:val="00192E4B"/>
    <w:rsid w:val="001A770A"/>
    <w:rsid w:val="001B06D9"/>
    <w:rsid w:val="001D0AA8"/>
    <w:rsid w:val="001E10AC"/>
    <w:rsid w:val="001E6B19"/>
    <w:rsid w:val="002026BD"/>
    <w:rsid w:val="002430FB"/>
    <w:rsid w:val="00263F7C"/>
    <w:rsid w:val="0027660B"/>
    <w:rsid w:val="00282EDF"/>
    <w:rsid w:val="00295010"/>
    <w:rsid w:val="002C269B"/>
    <w:rsid w:val="0030678A"/>
    <w:rsid w:val="003246A9"/>
    <w:rsid w:val="003267DB"/>
    <w:rsid w:val="00347466"/>
    <w:rsid w:val="00372BD8"/>
    <w:rsid w:val="00381BB3"/>
    <w:rsid w:val="003A2411"/>
    <w:rsid w:val="003D189E"/>
    <w:rsid w:val="003D326A"/>
    <w:rsid w:val="003D32B0"/>
    <w:rsid w:val="003D4103"/>
    <w:rsid w:val="003D66A5"/>
    <w:rsid w:val="003F4DB2"/>
    <w:rsid w:val="00427659"/>
    <w:rsid w:val="004335E0"/>
    <w:rsid w:val="00442CBC"/>
    <w:rsid w:val="0045320C"/>
    <w:rsid w:val="004742E0"/>
    <w:rsid w:val="0048092F"/>
    <w:rsid w:val="00485E49"/>
    <w:rsid w:val="0048603A"/>
    <w:rsid w:val="004864E3"/>
    <w:rsid w:val="0048745C"/>
    <w:rsid w:val="0049408F"/>
    <w:rsid w:val="004973CB"/>
    <w:rsid w:val="004A60E9"/>
    <w:rsid w:val="004B5A9D"/>
    <w:rsid w:val="004C1154"/>
    <w:rsid w:val="004C6683"/>
    <w:rsid w:val="004D5470"/>
    <w:rsid w:val="005142B0"/>
    <w:rsid w:val="00523125"/>
    <w:rsid w:val="00531B20"/>
    <w:rsid w:val="0053786F"/>
    <w:rsid w:val="00567693"/>
    <w:rsid w:val="00587BC2"/>
    <w:rsid w:val="005B5125"/>
    <w:rsid w:val="005C07CF"/>
    <w:rsid w:val="005D440A"/>
    <w:rsid w:val="005F2C39"/>
    <w:rsid w:val="00610D5B"/>
    <w:rsid w:val="00612B15"/>
    <w:rsid w:val="0063610A"/>
    <w:rsid w:val="006823FE"/>
    <w:rsid w:val="006C0EFA"/>
    <w:rsid w:val="006C6F33"/>
    <w:rsid w:val="007171EE"/>
    <w:rsid w:val="00717F29"/>
    <w:rsid w:val="00721F70"/>
    <w:rsid w:val="00750E06"/>
    <w:rsid w:val="007543CA"/>
    <w:rsid w:val="0077262D"/>
    <w:rsid w:val="00792FA5"/>
    <w:rsid w:val="00795662"/>
    <w:rsid w:val="007956F1"/>
    <w:rsid w:val="007A331F"/>
    <w:rsid w:val="007A4A3F"/>
    <w:rsid w:val="007A59C5"/>
    <w:rsid w:val="007C0075"/>
    <w:rsid w:val="007E557D"/>
    <w:rsid w:val="007E7399"/>
    <w:rsid w:val="007F3D16"/>
    <w:rsid w:val="007F73B9"/>
    <w:rsid w:val="008112C5"/>
    <w:rsid w:val="00815429"/>
    <w:rsid w:val="00816496"/>
    <w:rsid w:val="00816D35"/>
    <w:rsid w:val="00853798"/>
    <w:rsid w:val="00882DB5"/>
    <w:rsid w:val="00896F8C"/>
    <w:rsid w:val="008A59BF"/>
    <w:rsid w:val="008A77EF"/>
    <w:rsid w:val="008B7A57"/>
    <w:rsid w:val="008D1F6D"/>
    <w:rsid w:val="008E6B2D"/>
    <w:rsid w:val="008F361F"/>
    <w:rsid w:val="00912737"/>
    <w:rsid w:val="00937C62"/>
    <w:rsid w:val="009A3EB8"/>
    <w:rsid w:val="009C639E"/>
    <w:rsid w:val="009D67F2"/>
    <w:rsid w:val="00A30A57"/>
    <w:rsid w:val="00A706B3"/>
    <w:rsid w:val="00AA154B"/>
    <w:rsid w:val="00AA223F"/>
    <w:rsid w:val="00AC5430"/>
    <w:rsid w:val="00AE3BA9"/>
    <w:rsid w:val="00AF61E1"/>
    <w:rsid w:val="00AF7B30"/>
    <w:rsid w:val="00B05EBA"/>
    <w:rsid w:val="00B2668D"/>
    <w:rsid w:val="00B40C8D"/>
    <w:rsid w:val="00B61035"/>
    <w:rsid w:val="00B66FC7"/>
    <w:rsid w:val="00B72C34"/>
    <w:rsid w:val="00B85A7B"/>
    <w:rsid w:val="00B9375C"/>
    <w:rsid w:val="00BA55E2"/>
    <w:rsid w:val="00BA773C"/>
    <w:rsid w:val="00C15CD4"/>
    <w:rsid w:val="00C2142C"/>
    <w:rsid w:val="00C57290"/>
    <w:rsid w:val="00C72B46"/>
    <w:rsid w:val="00C955E7"/>
    <w:rsid w:val="00CF29D7"/>
    <w:rsid w:val="00D029A4"/>
    <w:rsid w:val="00D12C3D"/>
    <w:rsid w:val="00D34EAB"/>
    <w:rsid w:val="00D97252"/>
    <w:rsid w:val="00DA526F"/>
    <w:rsid w:val="00DB210F"/>
    <w:rsid w:val="00DC5313"/>
    <w:rsid w:val="00DC757E"/>
    <w:rsid w:val="00DF7110"/>
    <w:rsid w:val="00E178AF"/>
    <w:rsid w:val="00E50213"/>
    <w:rsid w:val="00E50254"/>
    <w:rsid w:val="00E61163"/>
    <w:rsid w:val="00E70B00"/>
    <w:rsid w:val="00E9454F"/>
    <w:rsid w:val="00EA534B"/>
    <w:rsid w:val="00EC0D98"/>
    <w:rsid w:val="00EC27A4"/>
    <w:rsid w:val="00EE35A9"/>
    <w:rsid w:val="00EF17A1"/>
    <w:rsid w:val="00EF2CBD"/>
    <w:rsid w:val="00F14668"/>
    <w:rsid w:val="00F32E0A"/>
    <w:rsid w:val="00F85685"/>
    <w:rsid w:val="00F85B35"/>
    <w:rsid w:val="00F87C7F"/>
    <w:rsid w:val="00F94B46"/>
    <w:rsid w:val="00FA42A4"/>
    <w:rsid w:val="00FF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BA72"/>
  <w15:docId w15:val="{5D104A76-5AA6-48C9-9E19-084567E6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0678A"/>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78A"/>
    <w:rPr>
      <w:rFonts w:ascii="Arial" w:eastAsia="Times New Roman" w:hAnsi="Arial" w:cs="Times New Roman"/>
      <w:b/>
      <w:sz w:val="24"/>
      <w:szCs w:val="20"/>
    </w:rPr>
  </w:style>
  <w:style w:type="paragraph" w:styleId="ListParagraph">
    <w:name w:val="List Paragraph"/>
    <w:basedOn w:val="Normal"/>
    <w:uiPriority w:val="34"/>
    <w:qFormat/>
    <w:rsid w:val="0030678A"/>
    <w:pPr>
      <w:ind w:left="720"/>
      <w:contextualSpacing/>
    </w:pPr>
  </w:style>
  <w:style w:type="character" w:styleId="Hyperlink">
    <w:name w:val="Hyperlink"/>
    <w:basedOn w:val="DefaultParagraphFont"/>
    <w:uiPriority w:val="99"/>
    <w:unhideWhenUsed/>
    <w:rsid w:val="0030678A"/>
    <w:rPr>
      <w:color w:val="0000FF" w:themeColor="hyperlink"/>
      <w:u w:val="single"/>
    </w:rPr>
  </w:style>
  <w:style w:type="character" w:styleId="FollowedHyperlink">
    <w:name w:val="FollowedHyperlink"/>
    <w:basedOn w:val="DefaultParagraphFont"/>
    <w:uiPriority w:val="99"/>
    <w:semiHidden/>
    <w:unhideWhenUsed/>
    <w:rsid w:val="00792FA5"/>
    <w:rPr>
      <w:color w:val="800080" w:themeColor="followedHyperlink"/>
      <w:u w:val="single"/>
    </w:rPr>
  </w:style>
  <w:style w:type="paragraph" w:styleId="BalloonText">
    <w:name w:val="Balloon Text"/>
    <w:basedOn w:val="Normal"/>
    <w:link w:val="BalloonTextChar"/>
    <w:uiPriority w:val="99"/>
    <w:semiHidden/>
    <w:unhideWhenUsed/>
    <w:rsid w:val="008F361F"/>
    <w:rPr>
      <w:sz w:val="18"/>
      <w:szCs w:val="18"/>
    </w:rPr>
  </w:style>
  <w:style w:type="character" w:customStyle="1" w:styleId="BalloonTextChar">
    <w:name w:val="Balloon Text Char"/>
    <w:basedOn w:val="DefaultParagraphFont"/>
    <w:link w:val="BalloonText"/>
    <w:uiPriority w:val="99"/>
    <w:semiHidden/>
    <w:rsid w:val="008F361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AF61E1"/>
    <w:rPr>
      <w:sz w:val="16"/>
      <w:szCs w:val="16"/>
    </w:rPr>
  </w:style>
  <w:style w:type="paragraph" w:styleId="CommentText">
    <w:name w:val="annotation text"/>
    <w:basedOn w:val="Normal"/>
    <w:link w:val="CommentTextChar"/>
    <w:uiPriority w:val="99"/>
    <w:semiHidden/>
    <w:unhideWhenUsed/>
    <w:rsid w:val="00AF61E1"/>
  </w:style>
  <w:style w:type="character" w:customStyle="1" w:styleId="CommentTextChar">
    <w:name w:val="Comment Text Char"/>
    <w:basedOn w:val="DefaultParagraphFont"/>
    <w:link w:val="CommentText"/>
    <w:uiPriority w:val="99"/>
    <w:semiHidden/>
    <w:rsid w:val="00AF61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1E1"/>
    <w:rPr>
      <w:b/>
      <w:bCs/>
    </w:rPr>
  </w:style>
  <w:style w:type="character" w:customStyle="1" w:styleId="CommentSubjectChar">
    <w:name w:val="Comment Subject Char"/>
    <w:basedOn w:val="CommentTextChar"/>
    <w:link w:val="CommentSubject"/>
    <w:uiPriority w:val="99"/>
    <w:semiHidden/>
    <w:rsid w:val="00AF61E1"/>
    <w:rPr>
      <w:rFonts w:ascii="Times New Roman" w:eastAsia="Times New Roman" w:hAnsi="Times New Roman" w:cs="Times New Roman"/>
      <w:b/>
      <w:bCs/>
      <w:sz w:val="20"/>
      <w:szCs w:val="20"/>
    </w:rPr>
  </w:style>
  <w:style w:type="paragraph" w:styleId="Revision">
    <w:name w:val="Revision"/>
    <w:hidden/>
    <w:uiPriority w:val="99"/>
    <w:semiHidden/>
    <w:rsid w:val="00B85A7B"/>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F2C39"/>
    <w:pPr>
      <w:tabs>
        <w:tab w:val="center" w:pos="4680"/>
        <w:tab w:val="right" w:pos="9360"/>
      </w:tabs>
    </w:pPr>
  </w:style>
  <w:style w:type="character" w:customStyle="1" w:styleId="HeaderChar">
    <w:name w:val="Header Char"/>
    <w:basedOn w:val="DefaultParagraphFont"/>
    <w:link w:val="Header"/>
    <w:uiPriority w:val="99"/>
    <w:rsid w:val="005F2C3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2C39"/>
    <w:pPr>
      <w:tabs>
        <w:tab w:val="center" w:pos="4680"/>
        <w:tab w:val="right" w:pos="9360"/>
      </w:tabs>
    </w:pPr>
  </w:style>
  <w:style w:type="character" w:customStyle="1" w:styleId="FooterChar">
    <w:name w:val="Footer Char"/>
    <w:basedOn w:val="DefaultParagraphFont"/>
    <w:link w:val="Footer"/>
    <w:uiPriority w:val="99"/>
    <w:rsid w:val="005F2C3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073963">
      <w:bodyDiv w:val="1"/>
      <w:marLeft w:val="0"/>
      <w:marRight w:val="0"/>
      <w:marTop w:val="0"/>
      <w:marBottom w:val="0"/>
      <w:divBdr>
        <w:top w:val="none" w:sz="0" w:space="0" w:color="auto"/>
        <w:left w:val="none" w:sz="0" w:space="0" w:color="auto"/>
        <w:bottom w:val="none" w:sz="0" w:space="0" w:color="auto"/>
        <w:right w:val="none" w:sz="0" w:space="0" w:color="auto"/>
      </w:divBdr>
      <w:divsChild>
        <w:div w:id="535509555">
          <w:marLeft w:val="360"/>
          <w:marRight w:val="0"/>
          <w:marTop w:val="200"/>
          <w:marBottom w:val="0"/>
          <w:divBdr>
            <w:top w:val="none" w:sz="0" w:space="0" w:color="auto"/>
            <w:left w:val="none" w:sz="0" w:space="0" w:color="auto"/>
            <w:bottom w:val="none" w:sz="0" w:space="0" w:color="auto"/>
            <w:right w:val="none" w:sz="0" w:space="0" w:color="auto"/>
          </w:divBdr>
        </w:div>
        <w:div w:id="1848445028">
          <w:marLeft w:val="360"/>
          <w:marRight w:val="0"/>
          <w:marTop w:val="200"/>
          <w:marBottom w:val="0"/>
          <w:divBdr>
            <w:top w:val="none" w:sz="0" w:space="0" w:color="auto"/>
            <w:left w:val="none" w:sz="0" w:space="0" w:color="auto"/>
            <w:bottom w:val="none" w:sz="0" w:space="0" w:color="auto"/>
            <w:right w:val="none" w:sz="0" w:space="0" w:color="auto"/>
          </w:divBdr>
        </w:div>
        <w:div w:id="448014678">
          <w:marLeft w:val="360"/>
          <w:marRight w:val="0"/>
          <w:marTop w:val="200"/>
          <w:marBottom w:val="0"/>
          <w:divBdr>
            <w:top w:val="none" w:sz="0" w:space="0" w:color="auto"/>
            <w:left w:val="none" w:sz="0" w:space="0" w:color="auto"/>
            <w:bottom w:val="none" w:sz="0" w:space="0" w:color="auto"/>
            <w:right w:val="none" w:sz="0" w:space="0" w:color="auto"/>
          </w:divBdr>
        </w:div>
        <w:div w:id="1020163165">
          <w:marLeft w:val="360"/>
          <w:marRight w:val="0"/>
          <w:marTop w:val="200"/>
          <w:marBottom w:val="0"/>
          <w:divBdr>
            <w:top w:val="none" w:sz="0" w:space="0" w:color="auto"/>
            <w:left w:val="none" w:sz="0" w:space="0" w:color="auto"/>
            <w:bottom w:val="none" w:sz="0" w:space="0" w:color="auto"/>
            <w:right w:val="none" w:sz="0" w:space="0" w:color="auto"/>
          </w:divBdr>
        </w:div>
        <w:div w:id="445975752">
          <w:marLeft w:val="360"/>
          <w:marRight w:val="0"/>
          <w:marTop w:val="200"/>
          <w:marBottom w:val="0"/>
          <w:divBdr>
            <w:top w:val="none" w:sz="0" w:space="0" w:color="auto"/>
            <w:left w:val="none" w:sz="0" w:space="0" w:color="auto"/>
            <w:bottom w:val="none" w:sz="0" w:space="0" w:color="auto"/>
            <w:right w:val="none" w:sz="0" w:space="0" w:color="auto"/>
          </w:divBdr>
        </w:div>
      </w:divsChild>
    </w:div>
    <w:div w:id="2076664873">
      <w:bodyDiv w:val="1"/>
      <w:marLeft w:val="0"/>
      <w:marRight w:val="0"/>
      <w:marTop w:val="0"/>
      <w:marBottom w:val="0"/>
      <w:divBdr>
        <w:top w:val="none" w:sz="0" w:space="0" w:color="auto"/>
        <w:left w:val="none" w:sz="0" w:space="0" w:color="auto"/>
        <w:bottom w:val="none" w:sz="0" w:space="0" w:color="auto"/>
        <w:right w:val="none" w:sz="0" w:space="0" w:color="auto"/>
      </w:divBdr>
      <w:divsChild>
        <w:div w:id="1613169198">
          <w:marLeft w:val="446"/>
          <w:marRight w:val="0"/>
          <w:marTop w:val="0"/>
          <w:marBottom w:val="0"/>
          <w:divBdr>
            <w:top w:val="none" w:sz="0" w:space="0" w:color="auto"/>
            <w:left w:val="none" w:sz="0" w:space="0" w:color="auto"/>
            <w:bottom w:val="none" w:sz="0" w:space="0" w:color="auto"/>
            <w:right w:val="none" w:sz="0" w:space="0" w:color="auto"/>
          </w:divBdr>
        </w:div>
        <w:div w:id="2098862195">
          <w:marLeft w:val="446"/>
          <w:marRight w:val="0"/>
          <w:marTop w:val="0"/>
          <w:marBottom w:val="0"/>
          <w:divBdr>
            <w:top w:val="none" w:sz="0" w:space="0" w:color="auto"/>
            <w:left w:val="none" w:sz="0" w:space="0" w:color="auto"/>
            <w:bottom w:val="none" w:sz="0" w:space="0" w:color="auto"/>
            <w:right w:val="none" w:sz="0" w:space="0" w:color="auto"/>
          </w:divBdr>
        </w:div>
        <w:div w:id="34197400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hp.org/-/media/assets/professional-development/residencies/docs/duty-hour-requirement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shp.org/-/media/assets/professional-development/residencies/docs/duty-hour-requirement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hp.org/-/media/assets/professional-development/residencies/docs/duty-hour-requirement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470030F208A489069C96A6882EB38" ma:contentTypeVersion="17" ma:contentTypeDescription="Create a new document." ma:contentTypeScope="" ma:versionID="e2ed81a6122342d9ee75869d2ea6d30a">
  <xsd:schema xmlns:xsd="http://www.w3.org/2001/XMLSchema" xmlns:xs="http://www.w3.org/2001/XMLSchema" xmlns:p="http://schemas.microsoft.com/office/2006/metadata/properties" xmlns:ns3="9dd40604-ea07-49c8-8e33-78f30593da9a" xmlns:ns4="c0cc3567-c994-4a8e-a3f0-7a7e8ddcbe3d" targetNamespace="http://schemas.microsoft.com/office/2006/metadata/properties" ma:root="true" ma:fieldsID="1c7434148315ae6aac65b23b21b7dc77" ns3:_="" ns4:_="">
    <xsd:import namespace="9dd40604-ea07-49c8-8e33-78f30593da9a"/>
    <xsd:import namespace="c0cc3567-c994-4a8e-a3f0-7a7e8ddcbe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40604-ea07-49c8-8e33-78f30593d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c3567-c994-4a8e-a3f0-7a7e8ddcbe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documentManagement>
    <_activity xmlns="9dd40604-ea07-49c8-8e33-78f30593da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FB44C-3D5D-4081-875D-4D3F1843F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40604-ea07-49c8-8e33-78f30593da9a"/>
    <ds:schemaRef ds:uri="c0cc3567-c994-4a8e-a3f0-7a7e8ddcb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E927F-8E1E-4957-802C-8B4CEE9A919B}">
  <ds:schemaRefs>
    <ds:schemaRef ds:uri="http://schemas.openxmlformats.org/officeDocument/2006/bibliography"/>
  </ds:schemaRefs>
</ds:datastoreItem>
</file>

<file path=customXml/itemProps3.xml><?xml version="1.0" encoding="utf-8"?>
<ds:datastoreItem xmlns:ds="http://schemas.openxmlformats.org/officeDocument/2006/customXml" ds:itemID="{16D4B5AF-AD47-4903-8B15-F89DE1DDBEAB}">
  <ds:schemaRefs>
    <ds:schemaRef ds:uri="http://schemas.microsoft.com/office/2006/metadata/properties"/>
    <ds:schemaRef ds:uri="9dd40604-ea07-49c8-8e33-78f30593da9a"/>
  </ds:schemaRefs>
</ds:datastoreItem>
</file>

<file path=customXml/itemProps4.xml><?xml version="1.0" encoding="utf-8"?>
<ds:datastoreItem xmlns:ds="http://schemas.openxmlformats.org/officeDocument/2006/customXml" ds:itemID="{0DD2AC0D-3467-46D6-8EAE-6C4376796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5175</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Duty hour requirements-2019-0808</vt:lpstr>
      <vt:lpstr>Duty Hour Policy Examples</vt:lpstr>
    </vt:vector>
  </TitlesOfParts>
  <Company>American Society of Health-System Pharmacists</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hour requirements-2019-0808</dc:title>
  <dc:creator>Jim Carlson</dc:creator>
  <cp:lastModifiedBy>Andrea Roberson</cp:lastModifiedBy>
  <cp:revision>2</cp:revision>
  <cp:lastPrinted>2019-11-13T22:31:00Z</cp:lastPrinted>
  <dcterms:created xsi:type="dcterms:W3CDTF">2024-10-07T18:46:00Z</dcterms:created>
  <dcterms:modified xsi:type="dcterms:W3CDTF">2024-10-07T18:46:00Z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0x010100E63470030F208A489069C96A6882EB38</vt:lpwstr>
  </property>
</Properties>
</file>